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BodyText"/>
        <w:rPr>
          <w:rFonts w:ascii="Times New Roman"/>
          <w:sz w:val="20"/>
        </w:rPr>
      </w:pPr>
      <w:r>
        <w:rPr>
          <w:rFonts w:ascii="Times New Roman"/>
          <w:sz w:val="20"/>
        </w:rPr>
        <w:drawing>
          <wp:anchor simplePos="0" relativeHeight="251658240" behindDoc="0" locked="0" layoutInCell="1" allowOverlap="1">
            <wp:simplePos x="0" y="0"/>
            <wp:positionH relativeFrom="page">
              <wp:posOffset>10934700</wp:posOffset>
            </wp:positionH>
            <wp:positionV relativeFrom="topMargin">
              <wp:posOffset>11099800</wp:posOffset>
            </wp:positionV>
            <wp:extent cx="330200" cy="342900"/>
            <wp:wrapNone/>
            <wp:docPr id="10019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094877" name=""/>
                    <pic:cNvPicPr>
                      <a:picLocks noChangeAspect="1"/>
                    </pic:cNvPicPr>
                  </pic:nvPicPr>
                  <pic:blipFill>
                    <a:blip xmlns:r="http://schemas.openxmlformats.org/officeDocument/2006/relationships" r:embed="rId4"/>
                    <a:stretch>
                      <a:fillRect/>
                    </a:stretch>
                  </pic:blipFill>
                  <pic:spPr>
                    <a:xfrm>
                      <a:off x="0" y="0"/>
                      <a:ext cx="330200" cy="342900"/>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spacing w:before="10"/>
        <w:rPr>
          <w:rFonts w:ascii="Times New Roman"/>
          <w:sz w:val="16"/>
        </w:rPr>
      </w:pPr>
    </w:p>
    <w:p>
      <w:pPr>
        <w:spacing w:before="73"/>
        <w:ind w:left="150" w:right="353" w:firstLine="0"/>
        <w:jc w:val="center"/>
        <w:rPr>
          <w:sz w:val="55"/>
        </w:rPr>
      </w:pPr>
      <w:r>
        <w:rPr>
          <w:color w:val="231F20"/>
          <w:sz w:val="55"/>
        </w:rPr>
        <w:t>普通高中</w:t>
      </w:r>
    </w:p>
    <w:p>
      <w:pPr>
        <w:spacing w:before="178"/>
        <w:ind w:left="150" w:right="331" w:firstLine="0"/>
        <w:jc w:val="center"/>
        <w:rPr>
          <w:sz w:val="84"/>
        </w:rPr>
      </w:pPr>
      <w:r>
        <w:rPr>
          <w:color w:val="231F20"/>
          <w:spacing w:val="62"/>
          <w:sz w:val="84"/>
        </w:rPr>
        <w:t>生物学课程标准</w:t>
      </w:r>
    </w:p>
    <w:p>
      <w:pPr>
        <w:spacing w:before="304"/>
        <w:ind w:left="150" w:right="394" w:firstLine="0"/>
        <w:jc w:val="center"/>
        <w:rPr>
          <w:sz w:val="38"/>
        </w:rPr>
      </w:pPr>
      <w:r>
        <w:rPr>
          <w:color w:val="231F20"/>
          <w:spacing w:val="23"/>
          <w:w w:val="115"/>
          <w:sz w:val="38"/>
        </w:rPr>
        <w:t>（2017</w:t>
      </w:r>
      <w:r>
        <w:rPr>
          <w:color w:val="231F20"/>
          <w:spacing w:val="-45"/>
          <w:w w:val="115"/>
          <w:sz w:val="38"/>
        </w:rPr>
        <w:t xml:space="preserve"> 年版 </w:t>
      </w:r>
      <w:r>
        <w:rPr>
          <w:color w:val="231F20"/>
          <w:spacing w:val="21"/>
          <w:w w:val="115"/>
          <w:sz w:val="38"/>
        </w:rPr>
        <w:t>2020</w:t>
      </w:r>
      <w:r>
        <w:rPr>
          <w:color w:val="231F20"/>
          <w:spacing w:val="-4"/>
          <w:w w:val="115"/>
          <w:sz w:val="38"/>
        </w:rPr>
        <w:t xml:space="preserve"> 年修订</w:t>
      </w:r>
      <w:r>
        <w:rPr>
          <w:color w:val="231F20"/>
          <w:w w:val="115"/>
          <w:sz w:val="38"/>
        </w:rPr>
        <w:t>）</w:t>
      </w:r>
    </w:p>
    <w:p>
      <w:pPr>
        <w:pStyle w:val="BodyText"/>
        <w:spacing w:before="1"/>
        <w:rPr>
          <w:sz w:val="27"/>
        </w:rPr>
      </w:pPr>
    </w:p>
    <w:p>
      <w:pPr>
        <w:spacing w:before="57"/>
        <w:ind w:left="150" w:right="368" w:firstLine="0"/>
        <w:jc w:val="center"/>
        <w:rPr>
          <w:sz w:val="35"/>
        </w:rPr>
      </w:pPr>
      <w:r>
        <w:rPr>
          <w:color w:val="231F20"/>
          <w:sz w:val="35"/>
        </w:rPr>
        <w:t>中华人民共和国教育部制定</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6"/>
        </w:rPr>
      </w:pPr>
      <w:r>
        <w:drawing>
          <wp:anchor distT="0" distB="0" distL="0" distR="0" simplePos="0" relativeHeight="251659264" behindDoc="0" locked="0" layoutInCell="1" allowOverlap="1">
            <wp:simplePos x="0" y="0"/>
            <wp:positionH relativeFrom="page">
              <wp:posOffset>2670719</wp:posOffset>
            </wp:positionH>
            <wp:positionV relativeFrom="paragraph">
              <wp:posOffset>159053</wp:posOffset>
            </wp:positionV>
            <wp:extent cx="776334" cy="18573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5" cstate="print"/>
                    <a:stretch>
                      <a:fillRect/>
                    </a:stretch>
                  </pic:blipFill>
                  <pic:spPr>
                    <a:xfrm>
                      <a:off x="0" y="0"/>
                      <a:ext cx="776334" cy="185737"/>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3510153</wp:posOffset>
            </wp:positionH>
            <wp:positionV relativeFrom="paragraph">
              <wp:posOffset>187632</wp:posOffset>
            </wp:positionV>
            <wp:extent cx="513993" cy="1353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6" cstate="print"/>
                    <a:stretch>
                      <a:fillRect/>
                    </a:stretch>
                  </pic:blipFill>
                  <pic:spPr>
                    <a:xfrm>
                      <a:off x="0" y="0"/>
                      <a:ext cx="513993" cy="135350"/>
                    </a:xfrm>
                    <a:prstGeom prst="rect">
                      <a:avLst/>
                    </a:prstGeom>
                  </pic:spPr>
                </pic:pic>
              </a:graphicData>
            </a:graphic>
          </wp:anchor>
        </w:drawing>
      </w:r>
    </w:p>
    <w:p>
      <w:pPr>
        <w:spacing w:before="66"/>
        <w:ind w:left="150" w:right="379" w:firstLine="0"/>
        <w:jc w:val="center"/>
        <w:rPr>
          <w:sz w:val="21"/>
        </w:rPr>
      </w:pPr>
      <w:r>
        <w:rPr>
          <w:color w:val="231F20"/>
          <w:sz w:val="21"/>
        </w:rPr>
        <w:t>·北京·</w:t>
      </w:r>
    </w:p>
    <w:p>
      <w:pPr>
        <w:spacing w:after="0"/>
        <w:jc w:val="center"/>
        <w:rPr>
          <w:sz w:val="21"/>
        </w:rPr>
        <w:sectPr>
          <w:type w:val="continuous"/>
          <w:pgSz w:w="10780" w:h="15090"/>
          <w:pgMar w:top="1420" w:right="1460" w:bottom="280" w:left="1480" w:header="708" w:footer="708"/>
          <w:cols w:space="708"/>
        </w:sectPr>
      </w:pPr>
    </w:p>
    <w:p>
      <w:pPr>
        <w:pStyle w:val="BodyText"/>
        <w:spacing w:before="5"/>
        <w:rPr>
          <w:sz w:val="15"/>
        </w:rPr>
      </w:pPr>
    </w:p>
    <w:p>
      <w:pPr>
        <w:tabs>
          <w:tab w:val="left" w:pos="1270"/>
        </w:tabs>
        <w:spacing w:before="78"/>
        <w:ind w:left="390" w:right="0" w:firstLine="0"/>
        <w:jc w:val="left"/>
        <w:rPr>
          <w:sz w:val="44"/>
        </w:rPr>
      </w:pPr>
      <w:r>
        <w:rPr>
          <w:color w:val="231F20"/>
          <w:sz w:val="44"/>
        </w:rPr>
        <w:t>前</w:t>
        <w:tab/>
        <w:t>言</w:t>
      </w:r>
    </w:p>
    <w:p>
      <w:pPr>
        <w:pStyle w:val="BodyText"/>
        <w:rPr>
          <w:sz w:val="54"/>
        </w:rPr>
      </w:pPr>
    </w:p>
    <w:p>
      <w:pPr>
        <w:pStyle w:val="BodyText"/>
        <w:rPr>
          <w:sz w:val="54"/>
        </w:rPr>
      </w:pPr>
    </w:p>
    <w:p>
      <w:pPr>
        <w:pStyle w:val="BodyText"/>
        <w:rPr>
          <w:sz w:val="54"/>
        </w:rPr>
      </w:pPr>
    </w:p>
    <w:p>
      <w:pPr>
        <w:pStyle w:val="BodyText"/>
        <w:spacing w:before="4"/>
        <w:rPr>
          <w:sz w:val="58"/>
        </w:rPr>
      </w:pPr>
    </w:p>
    <w:p>
      <w:pPr>
        <w:pStyle w:val="BodyText"/>
        <w:spacing w:line="328" w:lineRule="auto"/>
        <w:ind w:left="390" w:right="238" w:firstLine="480"/>
        <w:jc w:val="both"/>
      </w:pPr>
      <w:r>
        <w:rPr>
          <w:color w:val="231F20"/>
        </w:rPr>
        <w:t>习近平总书记在全国教育大会上强调，要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BodyText"/>
        <w:spacing w:line="328" w:lineRule="auto"/>
        <w:ind w:left="390" w:right="238" w:firstLine="480"/>
        <w:jc w:val="both"/>
      </w:pPr>
      <w:r>
        <w:rPr>
          <w:color w:val="231F20"/>
        </w:rPr>
        <w:t>基础教育课程承载着党的教育方针和教育思想，规定了教育目标和教育内容，是国家意志在教育领域的直接体现，在立德树人中发挥着关键作用。</w:t>
      </w:r>
    </w:p>
    <w:p>
      <w:pPr>
        <w:pStyle w:val="BodyText"/>
        <w:spacing w:line="328" w:lineRule="auto"/>
        <w:ind w:left="390" w:right="120" w:firstLine="480"/>
      </w:pPr>
      <w:r>
        <w:rPr>
          <w:rFonts w:ascii="Times New Roman" w:eastAsia="Times New Roman"/>
          <w:color w:val="231F20"/>
        </w:rPr>
        <w:t xml:space="preserve">2003 </w:t>
      </w:r>
      <w:r>
        <w:rPr>
          <w:color w:val="231F20"/>
        </w:rPr>
        <w:t>年，教育部印发的普通高中课程方案和课程标准实验稿， 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制度的改革， 为我国基础教育质量的提高作出了积极贡献。但是，面对经济、科技的迅猛发展和社会生活的深刻变化，面对新时代社会主要矛盾的转化，面对新时代对提高全体国民素质和人才培养质量的新要求，面对我国高中阶段教育基本普及的新形势，普通高中课程方案和课程标准实验稿还有一些不相适应和亟待改进之处。</w:t>
      </w:r>
    </w:p>
    <w:p>
      <w:pPr>
        <w:spacing w:after="0" w:line="328" w:lineRule="auto"/>
        <w:sectPr>
          <w:footerReference w:type="even" r:id="rId7"/>
          <w:footerReference w:type="default" r:id="rId8"/>
          <w:pgSz w:w="10780" w:h="15090"/>
          <w:pgMar w:top="1420" w:right="1460" w:bottom="1400" w:left="1480" w:header="0" w:footer="1217"/>
          <w:pgNumType w:start="1"/>
          <w:cols w:space="708"/>
        </w:sectPr>
      </w:pPr>
    </w:p>
    <w:p>
      <w:pPr>
        <w:pStyle w:val="BodyText"/>
        <w:spacing w:before="12"/>
        <w:rPr>
          <w:sz w:val="29"/>
        </w:rPr>
      </w:pPr>
    </w:p>
    <w:p>
      <w:pPr>
        <w:pStyle w:val="BodyText"/>
        <w:spacing w:before="76"/>
        <w:ind w:left="700"/>
        <w:jc w:val="both"/>
      </w:pPr>
      <w:r>
        <w:rPr>
          <w:rFonts w:ascii="Times New Roman" w:eastAsia="Times New Roman"/>
          <w:color w:val="231F20"/>
        </w:rPr>
        <w:t xml:space="preserve">2013 </w:t>
      </w:r>
      <w:r>
        <w:rPr>
          <w:color w:val="231F20"/>
        </w:rPr>
        <w:t>年，教育部启动了普通高中课程修订工作。本次修订深入</w:t>
      </w:r>
    </w:p>
    <w:p>
      <w:pPr>
        <w:pStyle w:val="BodyText"/>
        <w:spacing w:before="112" w:line="328" w:lineRule="auto"/>
        <w:ind w:left="220" w:right="402"/>
        <w:jc w:val="both"/>
      </w:pPr>
      <w:r>
        <w:rPr>
          <w:color w:val="231F20"/>
        </w:rPr>
        <w:t>总结</w:t>
      </w:r>
      <w:r>
        <w:rPr>
          <w:rFonts w:ascii="Times New Roman" w:eastAsia="Times New Roman"/>
          <w:color w:val="231F20"/>
        </w:rPr>
        <w:t xml:space="preserve">21 </w:t>
      </w:r>
      <w:r>
        <w:rPr>
          <w:color w:val="231F20"/>
        </w:rPr>
        <w:t>世纪以来我国普通高中课程改革的宝贵经验，充分借鉴国际课程改革的优秀成果，努力将普通高中课程方案和课程标准修订成既符合我国实际情况，又具有国际视野的纲领性教学文件，构建具有中国特色的普通高中课程体系。</w:t>
      </w:r>
    </w:p>
    <w:p>
      <w:pPr>
        <w:pStyle w:val="BodyText"/>
        <w:spacing w:before="1"/>
        <w:rPr>
          <w:sz w:val="32"/>
        </w:rPr>
      </w:pPr>
    </w:p>
    <w:p>
      <w:pPr>
        <w:pStyle w:val="Heading3"/>
      </w:pPr>
      <w:r>
        <w:rPr>
          <w:color w:val="231F20"/>
        </w:rPr>
        <w:t>一、修订工作的指导思想和基本原则</w:t>
      </w:r>
    </w:p>
    <w:p>
      <w:pPr>
        <w:pStyle w:val="BodyText"/>
        <w:spacing w:before="67"/>
        <w:ind w:left="580"/>
      </w:pPr>
      <w:r>
        <w:rPr>
          <w:color w:val="231F20"/>
        </w:rPr>
        <w:t>（一）指导思想</w:t>
      </w:r>
    </w:p>
    <w:p>
      <w:pPr>
        <w:pStyle w:val="BodyText"/>
        <w:spacing w:before="111" w:line="328" w:lineRule="auto"/>
        <w:ind w:left="220" w:right="287" w:firstLine="480"/>
      </w:pPr>
      <w:r>
        <w:rPr>
          <w:color w:val="231F20"/>
          <w:spacing w:val="-4"/>
        </w:rPr>
        <w:t>以马克思列宁主义、毛泽东思想、邓小平理论、“三个代表”重</w:t>
      </w:r>
      <w:r>
        <w:rPr>
          <w:color w:val="231F20"/>
        </w:rPr>
        <w:t>要思想、科学发展观、习近平新时代中国特色社会主义思想为指导， 深入贯彻党的十八大、十九大精神，落实全国教育大会精神，全面贯彻党的教育方针，落实立德树人根本任务，发展素质教育，推进教育公平，以社会主义核心价值观统领课程改革，着力提升课程思想性、</w:t>
      </w:r>
      <w:r>
        <w:rPr>
          <w:color w:val="231F20"/>
          <w:spacing w:val="-1"/>
        </w:rPr>
        <w:t xml:space="preserve">科学性、时代性、系统性、指导性，推动人才培养模式的改革创新， </w:t>
      </w:r>
      <w:r>
        <w:rPr>
          <w:color w:val="231F20"/>
        </w:rPr>
        <w:t>培养德智体美劳全面发展的社会主义建设者和接班人。</w:t>
      </w:r>
    </w:p>
    <w:p>
      <w:pPr>
        <w:pStyle w:val="BodyText"/>
        <w:spacing w:line="300" w:lineRule="exact"/>
        <w:ind w:left="580"/>
      </w:pPr>
      <w:r>
        <w:rPr>
          <w:color w:val="231F20"/>
        </w:rPr>
        <w:t>（二）基本原则</w:t>
      </w:r>
    </w:p>
    <w:p>
      <w:pPr>
        <w:pStyle w:val="ListParagraph"/>
        <w:numPr>
          <w:ilvl w:val="0"/>
          <w:numId w:val="42"/>
        </w:numPr>
        <w:tabs>
          <w:tab w:val="left" w:pos="1009"/>
        </w:tabs>
        <w:spacing w:before="111" w:after="0" w:line="328" w:lineRule="auto"/>
        <w:ind w:left="220" w:right="400" w:firstLine="480"/>
        <w:jc w:val="both"/>
        <w:rPr>
          <w:sz w:val="24"/>
        </w:rPr>
      </w:pPr>
      <w:r>
        <w:rPr>
          <w:color w:val="231F20"/>
          <w:spacing w:val="5"/>
          <w:sz w:val="24"/>
        </w:rPr>
        <w:t>坚持正确的政治方向。坚持党的领导，坚持社会主义办学方</w:t>
      </w:r>
      <w:r>
        <w:rPr>
          <w:color w:val="231F20"/>
          <w:sz w:val="24"/>
        </w:rPr>
        <w:t>向，充分体现马克思主义的指导地位和基本立场，充分反映习近平新</w:t>
      </w:r>
      <w:r>
        <w:rPr>
          <w:color w:val="231F20"/>
          <w:spacing w:val="7"/>
          <w:sz w:val="24"/>
        </w:rPr>
        <w:t>时代中国特色社会主义思想，有机融入坚持和发展中国特色社会主</w:t>
      </w:r>
      <w:r>
        <w:rPr>
          <w:color w:val="231F20"/>
          <w:sz w:val="24"/>
        </w:rPr>
        <w:t>义、培育和践行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w:t>
      </w:r>
    </w:p>
    <w:p>
      <w:pPr>
        <w:pStyle w:val="ListParagraph"/>
        <w:numPr>
          <w:ilvl w:val="0"/>
          <w:numId w:val="42"/>
        </w:numPr>
        <w:tabs>
          <w:tab w:val="left" w:pos="1009"/>
        </w:tabs>
        <w:spacing w:before="0" w:after="0" w:line="328" w:lineRule="auto"/>
        <w:ind w:left="220" w:right="290" w:firstLine="480"/>
        <w:jc w:val="left"/>
        <w:rPr>
          <w:sz w:val="24"/>
        </w:rPr>
      </w:pPr>
      <w:r>
        <w:rPr>
          <w:color w:val="231F20"/>
          <w:spacing w:val="5"/>
          <w:sz w:val="24"/>
        </w:rPr>
        <w:t>坚持反映时代要求。反映先进的教育思想和理念，关注信息</w:t>
      </w:r>
      <w:r>
        <w:rPr>
          <w:color w:val="231F20"/>
          <w:sz w:val="24"/>
        </w:rPr>
        <w:t>化环境下的教学改革，关注学生个性化、多样化的学习和发展需求， 促进人才培养模式的转变，着力发展学生的核心素养。根据经济社会</w:t>
      </w:r>
    </w:p>
    <w:p>
      <w:pPr>
        <w:spacing w:after="0" w:line="328" w:lineRule="auto"/>
        <w:jc w:val="left"/>
        <w:rPr>
          <w:sz w:val="24"/>
        </w:rPr>
        <w:sectPr>
          <w:headerReference w:type="even" r:id="rId9"/>
          <w:headerReference w:type="default" r:id="rId10"/>
          <w:pgSz w:w="10780" w:h="15090"/>
          <w:pgMar w:top="1260" w:right="1460" w:bottom="1400" w:left="1480" w:header="989" w:footer="1217"/>
          <w:cols w:space="708"/>
        </w:sectPr>
      </w:pPr>
    </w:p>
    <w:p>
      <w:pPr>
        <w:pStyle w:val="BodyText"/>
        <w:spacing w:before="10"/>
        <w:rPr>
          <w:sz w:val="29"/>
        </w:rPr>
      </w:pPr>
    </w:p>
    <w:p>
      <w:pPr>
        <w:pStyle w:val="BodyText"/>
        <w:spacing w:before="67" w:line="328" w:lineRule="auto"/>
        <w:ind w:left="390" w:right="120"/>
      </w:pPr>
      <w:r>
        <w:rPr>
          <w:color w:val="231F20"/>
        </w:rPr>
        <w:t>发展新变化、科学技术进步新成果，及时更新教学内容和话语体系， 反映新时代中国特色社会主义理论和建设新成就。</w:t>
      </w:r>
    </w:p>
    <w:p>
      <w:pPr>
        <w:pStyle w:val="ListParagraph"/>
        <w:numPr>
          <w:ilvl w:val="0"/>
          <w:numId w:val="42"/>
        </w:numPr>
        <w:tabs>
          <w:tab w:val="left" w:pos="1179"/>
        </w:tabs>
        <w:spacing w:before="0" w:after="0" w:line="328" w:lineRule="auto"/>
        <w:ind w:left="390" w:right="226" w:firstLine="480"/>
        <w:jc w:val="both"/>
        <w:rPr>
          <w:sz w:val="24"/>
        </w:rPr>
      </w:pPr>
      <w:r>
        <w:rPr>
          <w:color w:val="231F20"/>
          <w:spacing w:val="4"/>
          <w:sz w:val="24"/>
        </w:rPr>
        <w:t>坚持科学论证。遵循教育教学规律和学生身心发展规律，贴</w:t>
      </w:r>
      <w:r>
        <w:rPr>
          <w:color w:val="231F20"/>
          <w:sz w:val="24"/>
        </w:rPr>
        <w:t>近学生的思想、学习、生活实际，充分反映学生的成长需要，促进每个学生主动地、生动活泼地发展。加强调查研究和测试论证，广泛听</w:t>
      </w:r>
      <w:r>
        <w:rPr>
          <w:color w:val="231F20"/>
          <w:spacing w:val="6"/>
          <w:sz w:val="24"/>
        </w:rPr>
        <w:t>取相关领域人员的意见建议，重大问题向权威部门、专业机构、知</w:t>
      </w:r>
      <w:r>
        <w:rPr>
          <w:color w:val="231F20"/>
          <w:spacing w:val="4"/>
          <w:sz w:val="24"/>
        </w:rPr>
        <w:t>名专家学者咨询，求真务实，严谨认真，确保课程内容科学，表述</w:t>
      </w:r>
      <w:r>
        <w:rPr>
          <w:color w:val="231F20"/>
          <w:sz w:val="24"/>
        </w:rPr>
        <w:t>规范。</w:t>
      </w:r>
    </w:p>
    <w:p>
      <w:pPr>
        <w:pStyle w:val="ListParagraph"/>
        <w:numPr>
          <w:ilvl w:val="0"/>
          <w:numId w:val="42"/>
        </w:numPr>
        <w:tabs>
          <w:tab w:val="left" w:pos="1179"/>
        </w:tabs>
        <w:spacing w:before="0" w:after="0" w:line="328" w:lineRule="auto"/>
        <w:ind w:left="390" w:right="120" w:firstLine="480"/>
        <w:jc w:val="left"/>
        <w:rPr>
          <w:sz w:val="24"/>
        </w:rPr>
      </w:pPr>
      <w:r>
        <w:rPr>
          <w:color w:val="231F20"/>
          <w:spacing w:val="5"/>
          <w:sz w:val="24"/>
        </w:rPr>
        <w:t>坚持继承发展。对十余年普通高中课程改革实践进行系统梳</w:t>
      </w:r>
      <w:r>
        <w:rPr>
          <w:color w:val="231F20"/>
          <w:sz w:val="24"/>
        </w:rPr>
        <w:t>理，总结提炼并继承已有经验和成功做法，确保课程改革的连续性。同时，发现并切实面对改革过程中存在的问题，有针对性地进行修订完善，在继承中前行，在改革中完善，使课程体系充满活力。</w:t>
      </w:r>
    </w:p>
    <w:p>
      <w:pPr>
        <w:pStyle w:val="BodyText"/>
        <w:spacing w:before="4"/>
        <w:rPr>
          <w:sz w:val="31"/>
        </w:rPr>
      </w:pPr>
    </w:p>
    <w:p>
      <w:pPr>
        <w:pStyle w:val="Heading3"/>
        <w:ind w:left="870"/>
      </w:pPr>
      <w:r>
        <w:rPr>
          <w:color w:val="231F20"/>
        </w:rPr>
        <w:t>二、修订的主要内容和变化</w:t>
      </w:r>
    </w:p>
    <w:p>
      <w:pPr>
        <w:pStyle w:val="BodyText"/>
        <w:spacing w:before="67"/>
        <w:ind w:left="750"/>
      </w:pPr>
      <w:r>
        <w:rPr>
          <w:color w:val="231F20"/>
        </w:rPr>
        <w:t>（一）关于课程方案</w:t>
      </w:r>
    </w:p>
    <w:p>
      <w:pPr>
        <w:pStyle w:val="ListParagraph"/>
        <w:numPr>
          <w:ilvl w:val="0"/>
          <w:numId w:val="41"/>
        </w:numPr>
        <w:tabs>
          <w:tab w:val="left" w:pos="1179"/>
        </w:tabs>
        <w:spacing w:before="111" w:after="0" w:line="328" w:lineRule="auto"/>
        <w:ind w:left="390" w:right="231" w:firstLine="480"/>
        <w:jc w:val="both"/>
        <w:rPr>
          <w:sz w:val="24"/>
        </w:rPr>
      </w:pPr>
      <w:r>
        <w:rPr>
          <w:color w:val="231F20"/>
          <w:spacing w:val="5"/>
          <w:sz w:val="24"/>
        </w:rPr>
        <w:t>进一步明确了普通高中教育的定位。我国普通高中教育是在</w:t>
      </w:r>
      <w:r>
        <w:rPr>
          <w:color w:val="231F20"/>
          <w:sz w:val="24"/>
        </w:rPr>
        <w:t>义务教育基础上进一步提高国民素质、面向大众的基础教育，任务是促进学生全面而有个性的发展，为学生适应社会生活、高等教育和职业发展作准备，为学生的终身发展奠定基础。普通高中的培养目标是进一步提升学生综合素质，着力发展核心素养，使学生具有理想信念和社会责任感，具有科学文化素养和终身学习能力，具有自主发展能力和沟通合作能力。</w:t>
      </w:r>
    </w:p>
    <w:p>
      <w:pPr>
        <w:pStyle w:val="ListParagraph"/>
        <w:numPr>
          <w:ilvl w:val="0"/>
          <w:numId w:val="41"/>
        </w:numPr>
        <w:tabs>
          <w:tab w:val="left" w:pos="1255"/>
        </w:tabs>
        <w:spacing w:before="0" w:after="0" w:line="328" w:lineRule="auto"/>
        <w:ind w:left="390" w:right="120" w:firstLine="559"/>
        <w:jc w:val="left"/>
        <w:rPr>
          <w:sz w:val="24"/>
        </w:rPr>
      </w:pPr>
      <w:r>
        <w:rPr>
          <w:color w:val="231F20"/>
          <w:spacing w:val="2"/>
          <w:sz w:val="24"/>
        </w:rPr>
        <w:t>进一步优化了课程结构。一是保留原有学习科目，调整外语规划语种，在英语、日语、俄语基础上，增加德语、法语和西班牙</w:t>
      </w:r>
      <w:r>
        <w:rPr>
          <w:color w:val="231F20"/>
          <w:sz w:val="24"/>
        </w:rPr>
        <w:t xml:space="preserve">语。二是将课程类别调整为必修课程、选择性必修课程和选修课程， </w:t>
      </w:r>
      <w:r>
        <w:rPr>
          <w:color w:val="231F20"/>
          <w:spacing w:val="7"/>
          <w:sz w:val="24"/>
        </w:rPr>
        <w:t>在保证共同基础的前提下，为不同发展方向的学生提供有选择的课</w:t>
      </w:r>
      <w:r>
        <w:rPr>
          <w:color w:val="231F20"/>
          <w:sz w:val="24"/>
        </w:rPr>
        <w:t>程。三是进一步明确各类课程的功能定位，与高考综合改革相衔接： 必修课程根据学生全面发展需要设置，全修全考；选择性必修课程根</w:t>
      </w:r>
    </w:p>
    <w:p>
      <w:pPr>
        <w:spacing w:after="0" w:line="328" w:lineRule="auto"/>
        <w:jc w:val="left"/>
        <w:rPr>
          <w:sz w:val="24"/>
        </w:rPr>
        <w:sectPr>
          <w:footerReference w:type="even" r:id="rId11"/>
          <w:footerReference w:type="default" r:id="rId12"/>
          <w:pgSz w:w="10780" w:h="15090"/>
          <w:pgMar w:top="1260" w:right="1460" w:bottom="1400" w:left="1480" w:header="989" w:footer="1217"/>
          <w:pgNumType w:start="3"/>
          <w:cols w:space="708"/>
        </w:sectPr>
      </w:pPr>
    </w:p>
    <w:p>
      <w:pPr>
        <w:pStyle w:val="BodyText"/>
        <w:rPr>
          <w:sz w:val="20"/>
        </w:rPr>
      </w:pPr>
    </w:p>
    <w:p>
      <w:pPr>
        <w:pStyle w:val="BodyText"/>
        <w:spacing w:before="203" w:line="328" w:lineRule="auto"/>
        <w:ind w:left="220" w:right="290"/>
      </w:pPr>
      <w:r>
        <w:rPr>
          <w:color w:val="231F20"/>
        </w:rPr>
        <w:t>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 由必修课程学分、选择性必修课程学分组成，适当增加选修课程学分，既保证基础性，又兼顾选择性。</w:t>
      </w:r>
    </w:p>
    <w:p>
      <w:pPr>
        <w:pStyle w:val="ListParagraph"/>
        <w:numPr>
          <w:ilvl w:val="0"/>
          <w:numId w:val="41"/>
        </w:numPr>
        <w:tabs>
          <w:tab w:val="left" w:pos="1008"/>
        </w:tabs>
        <w:spacing w:before="0" w:after="0" w:line="328" w:lineRule="auto"/>
        <w:ind w:left="220" w:right="401" w:firstLine="480"/>
        <w:jc w:val="both"/>
        <w:rPr>
          <w:sz w:val="24"/>
        </w:rPr>
      </w:pPr>
      <w:r>
        <w:rPr>
          <w:color w:val="231F20"/>
          <w:spacing w:val="5"/>
          <w:sz w:val="24"/>
        </w:rPr>
        <w:t>强化了课程有效实施的制度建设。进一步明确课程实施环节</w:t>
      </w:r>
      <w:r>
        <w:rPr>
          <w:color w:val="231F20"/>
          <w:sz w:val="24"/>
        </w:rPr>
        <w:t>的责任主体和要求，从课程标准、教材、课程规划、教学管理，以及评价、资源建设等方面，对国家、省</w:t>
      </w:r>
      <w:r>
        <w:rPr>
          <w:color w:val="231F20"/>
          <w:spacing w:val="3"/>
          <w:sz w:val="24"/>
        </w:rPr>
        <w:t>（</w:t>
      </w:r>
      <w:r>
        <w:rPr>
          <w:color w:val="231F20"/>
          <w:spacing w:val="2"/>
          <w:sz w:val="24"/>
        </w:rPr>
        <w:t>自治区、直辖市</w:t>
      </w:r>
      <w:r>
        <w:rPr>
          <w:color w:val="231F20"/>
          <w:spacing w:val="-90"/>
          <w:sz w:val="24"/>
        </w:rPr>
        <w:t>）</w:t>
      </w:r>
      <w:r>
        <w:rPr>
          <w:color w:val="231F20"/>
          <w:spacing w:val="3"/>
          <w:sz w:val="24"/>
        </w:rPr>
        <w:t>、学校分别</w:t>
      </w:r>
      <w:r>
        <w:rPr>
          <w:color w:val="231F20"/>
          <w:sz w:val="24"/>
        </w:rPr>
        <w:t>提出了要求。增设“条件保障”部分，从师资队伍建设、教学设施和经费保障等方面提出具体要求。增设“管理与监督”部分，强化各级教育行政部门和学校课程实施的责任。</w:t>
      </w:r>
    </w:p>
    <w:p>
      <w:pPr>
        <w:pStyle w:val="BodyText"/>
        <w:spacing w:line="301" w:lineRule="exact"/>
        <w:ind w:left="580"/>
      </w:pPr>
      <w:r>
        <w:rPr>
          <w:color w:val="231F20"/>
        </w:rPr>
        <w:t>（二）关于学科课程标准</w:t>
      </w:r>
    </w:p>
    <w:p>
      <w:pPr>
        <w:pStyle w:val="ListParagraph"/>
        <w:numPr>
          <w:ilvl w:val="0"/>
          <w:numId w:val="40"/>
        </w:numPr>
        <w:tabs>
          <w:tab w:val="left" w:pos="1008"/>
        </w:tabs>
        <w:spacing w:before="103" w:after="0" w:line="328" w:lineRule="auto"/>
        <w:ind w:left="220" w:right="288" w:firstLine="480"/>
        <w:jc w:val="left"/>
        <w:rPr>
          <w:sz w:val="24"/>
        </w:rPr>
      </w:pPr>
      <w:r>
        <w:rPr>
          <w:color w:val="231F20"/>
          <w:spacing w:val="6"/>
          <w:sz w:val="24"/>
        </w:rPr>
        <w:t>凝练了学科核心素养。中国学生发展核心素养是党的教育方</w:t>
      </w:r>
      <w:r>
        <w:rPr>
          <w:color w:val="231F20"/>
          <w:sz w:val="24"/>
        </w:rPr>
        <w:t>针的具体化、细化。为建立核心素养与课程教学的内在联系，充分挖</w:t>
      </w:r>
      <w:r>
        <w:rPr>
          <w:color w:val="231F20"/>
          <w:spacing w:val="7"/>
          <w:sz w:val="24"/>
        </w:rPr>
        <w:t>掘各学科课程教学对全面贯彻党的教育方针、落实立德树人根本任</w:t>
      </w:r>
      <w:r>
        <w:rPr>
          <w:color w:val="231F20"/>
          <w:sz w:val="24"/>
        </w:rPr>
        <w:t>务、发展素质教育的独特育人价值，各学科基于学科本质凝练了本学</w:t>
      </w:r>
      <w:r>
        <w:rPr>
          <w:color w:val="231F20"/>
          <w:spacing w:val="1"/>
          <w:sz w:val="24"/>
        </w:rPr>
        <w:t>科的核心素养，明确了学生学习该学科课程后应达成的正确价值观、必备品格和关键能力，对知识与技能、过程与方法、情感态度价值观三维目标进行了整合。课程标准还围绕核心素养的落实，精选、重组课程内容，明确内容要求，指导教学设计，提出考试评价和教材编写建议。</w:t>
      </w:r>
    </w:p>
    <w:p>
      <w:pPr>
        <w:pStyle w:val="ListParagraph"/>
        <w:numPr>
          <w:ilvl w:val="0"/>
          <w:numId w:val="40"/>
        </w:numPr>
        <w:tabs>
          <w:tab w:val="left" w:pos="1009"/>
        </w:tabs>
        <w:spacing w:before="0" w:after="0" w:line="328" w:lineRule="auto"/>
        <w:ind w:left="220" w:right="288" w:firstLine="480"/>
        <w:jc w:val="left"/>
        <w:rPr>
          <w:sz w:val="24"/>
        </w:rPr>
      </w:pPr>
      <w:r>
        <w:rPr>
          <w:color w:val="231F20"/>
          <w:spacing w:val="4"/>
          <w:sz w:val="24"/>
        </w:rPr>
        <w:t>更新了教学内容。进一步精选了学科内容，重视以学科大概</w:t>
      </w:r>
      <w:r>
        <w:rPr>
          <w:color w:val="231F20"/>
          <w:sz w:val="24"/>
        </w:rPr>
        <w:t>念为核心，使课程内容结构化，以主题为引领，使课程内容情境化， 促进学科核心素养的落实。结合学生年龄特点和学科特征，课程内容</w:t>
      </w:r>
      <w:r>
        <w:rPr>
          <w:color w:val="231F20"/>
          <w:spacing w:val="7"/>
          <w:sz w:val="24"/>
        </w:rPr>
        <w:t>落实习近平新时代中国特色社会主义思想，有机融入社会主义核心</w:t>
      </w:r>
      <w:r>
        <w:rPr>
          <w:color w:val="231F20"/>
          <w:spacing w:val="4"/>
          <w:sz w:val="24"/>
        </w:rPr>
        <w:t>价值观，中华优秀传统文化、革命文化和社会主义先进文化教育内</w:t>
      </w:r>
      <w:r>
        <w:rPr>
          <w:color w:val="231F20"/>
          <w:spacing w:val="2"/>
          <w:sz w:val="24"/>
        </w:rPr>
        <w:t>容，努力呈现经济、政治、文化、科技、社会、生态等发展的新成</w:t>
      </w:r>
    </w:p>
    <w:p>
      <w:pPr>
        <w:spacing w:after="0" w:line="328" w:lineRule="auto"/>
        <w:jc w:val="left"/>
        <w:rPr>
          <w:sz w:val="24"/>
        </w:rPr>
        <w:sectPr>
          <w:pgSz w:w="10780" w:h="15090"/>
          <w:pgMar w:top="1260" w:right="1460" w:bottom="1400" w:left="1480" w:header="1029" w:footer="1217"/>
          <w:cols w:space="708"/>
        </w:sectPr>
      </w:pPr>
    </w:p>
    <w:p>
      <w:pPr>
        <w:pStyle w:val="BodyText"/>
        <w:spacing w:before="10"/>
        <w:rPr>
          <w:sz w:val="29"/>
        </w:rPr>
      </w:pPr>
    </w:p>
    <w:p>
      <w:pPr>
        <w:pStyle w:val="BodyText"/>
        <w:spacing w:before="67" w:line="328" w:lineRule="auto"/>
        <w:ind w:left="390" w:right="238"/>
      </w:pPr>
      <w:r>
        <w:rPr>
          <w:color w:val="231F20"/>
        </w:rPr>
        <w:t>就、新成果，充实丰富培养学生社会责任感、创新精神、实践能力相关内容。</w:t>
      </w:r>
    </w:p>
    <w:p>
      <w:pPr>
        <w:pStyle w:val="ListParagraph"/>
        <w:numPr>
          <w:ilvl w:val="0"/>
          <w:numId w:val="40"/>
        </w:numPr>
        <w:tabs>
          <w:tab w:val="left" w:pos="1179"/>
        </w:tabs>
        <w:spacing w:before="0" w:after="0" w:line="328" w:lineRule="auto"/>
        <w:ind w:left="390" w:right="226" w:firstLine="480"/>
        <w:jc w:val="both"/>
        <w:rPr>
          <w:sz w:val="24"/>
        </w:rPr>
      </w:pPr>
      <w:r>
        <w:rPr>
          <w:color w:val="231F20"/>
          <w:spacing w:val="6"/>
          <w:sz w:val="24"/>
        </w:rPr>
        <w:t>研制了学业质量标准。各学科明确学生完成本学科学习任务</w:t>
      </w:r>
      <w:r>
        <w:rPr>
          <w:color w:val="231F20"/>
          <w:sz w:val="24"/>
        </w:rPr>
        <w:t>后，学科核心素养应该达到的水平，各水平的关键表现构成评价学业质量的标准。引导教学更加关注育人目的，更加注重培养学生核心素养，更加强调提高学生综合运用知识解决实际问题的能力，帮助教师</w:t>
      </w:r>
      <w:r>
        <w:rPr>
          <w:color w:val="231F20"/>
          <w:spacing w:val="6"/>
          <w:sz w:val="24"/>
        </w:rPr>
        <w:t>和学生把握教与学的深度和广度，为阶段性评价、学业水平考试和</w:t>
      </w:r>
      <w:r>
        <w:rPr>
          <w:color w:val="231F20"/>
          <w:spacing w:val="5"/>
          <w:sz w:val="24"/>
        </w:rPr>
        <w:t>升学考试命题提供重要依据，促进教、学、考有机衔接，形成育人</w:t>
      </w:r>
      <w:r>
        <w:rPr>
          <w:color w:val="231F20"/>
          <w:sz w:val="24"/>
        </w:rPr>
        <w:t>合力。</w:t>
      </w:r>
    </w:p>
    <w:p>
      <w:pPr>
        <w:pStyle w:val="ListParagraph"/>
        <w:numPr>
          <w:ilvl w:val="0"/>
          <w:numId w:val="40"/>
        </w:numPr>
        <w:tabs>
          <w:tab w:val="left" w:pos="1179"/>
        </w:tabs>
        <w:spacing w:before="0" w:after="0" w:line="328" w:lineRule="auto"/>
        <w:ind w:left="390" w:right="120" w:firstLine="480"/>
        <w:jc w:val="left"/>
        <w:rPr>
          <w:sz w:val="24"/>
        </w:rPr>
      </w:pPr>
      <w:r>
        <w:rPr>
          <w:color w:val="231F20"/>
          <w:spacing w:val="3"/>
          <w:sz w:val="24"/>
        </w:rPr>
        <w:t>增强了指导性。本着为编写教材服务、为教学服务、为考试</w:t>
      </w:r>
      <w:r>
        <w:rPr>
          <w:color w:val="231F20"/>
          <w:sz w:val="24"/>
        </w:rPr>
        <w:t>评价服务的原则，突出课程标准的可操作性，切实加强对教材编写、教学实施、考试评价的指导。课程标准通俗易懂，逻辑更清晰，原则</w:t>
      </w:r>
      <w:r>
        <w:rPr>
          <w:color w:val="231F20"/>
          <w:spacing w:val="-14"/>
          <w:sz w:val="24"/>
        </w:rPr>
        <w:t>上每个模块或主题由“内容要求”“教学提示”“学业要求”组成，大部分学科增加了教学与评价案例，同时依据学业质量标准细化评价目标，增强了对教学和评价的指导性。</w:t>
      </w:r>
    </w:p>
    <w:p>
      <w:pPr>
        <w:pStyle w:val="BodyText"/>
        <w:spacing w:line="328" w:lineRule="auto"/>
        <w:ind w:left="390" w:right="120" w:firstLine="480"/>
      </w:pPr>
      <w:r>
        <w:rPr>
          <w:color w:val="231F20"/>
        </w:rPr>
        <w:t>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 推动普通高中课程改革不断深化，共创普通高中教育的新辉煌，为实现国家教育现代化、建设教育强国作出新贡献。</w:t>
      </w:r>
    </w:p>
    <w:p>
      <w:pPr>
        <w:spacing w:after="0" w:line="328" w:lineRule="auto"/>
        <w:sectPr>
          <w:pgSz w:w="10780" w:h="15090"/>
          <w:pgMar w:top="1260" w:right="1460" w:bottom="1400" w:left="1480" w:header="989" w:footer="1217"/>
          <w:cols w:space="708"/>
        </w:sectPr>
      </w:pPr>
    </w:p>
    <w:p>
      <w:pPr>
        <w:pStyle w:val="BodyText"/>
        <w:rPr>
          <w:sz w:val="20"/>
        </w:rPr>
      </w:pPr>
      <w:r>
        <w:pict>
          <v:rect id="_x0000_s1025" style="width:96.13pt;height:29.54pt;margin-top:44.77pt;margin-left:383.51pt;mso-position-horizontal-relative:page;mso-position-vertical-relative:page;position:absolute;z-index:251674624" filled="t" fillcolor="white" stroked="f">
            <v:fill type="solid"/>
          </v:rect>
        </w:pict>
      </w:r>
    </w:p>
    <w:p>
      <w:pPr>
        <w:pStyle w:val="BodyText"/>
        <w:rPr>
          <w:sz w:val="20"/>
        </w:rPr>
      </w:pPr>
    </w:p>
    <w:p>
      <w:pPr>
        <w:pStyle w:val="BodyText"/>
        <w:rPr>
          <w:sz w:val="16"/>
        </w:rPr>
      </w:pPr>
    </w:p>
    <w:p>
      <w:pPr>
        <w:tabs>
          <w:tab w:val="left" w:pos="1281"/>
        </w:tabs>
        <w:spacing w:before="77"/>
        <w:ind w:left="390" w:right="0" w:firstLine="0"/>
        <w:jc w:val="left"/>
        <w:rPr>
          <w:sz w:val="44"/>
        </w:rPr>
      </w:pPr>
      <w:r>
        <w:pict>
          <v:shapetype id="_x0000_t202" coordsize="21600,21600" o:spt="202" path="m,l,21600r21600,l21600,xe">
            <v:stroke joinstyle="miter"/>
            <v:path gradientshapeok="t" o:connecttype="rect"/>
          </v:shapetype>
          <v:shape id="_x0000_s1026" type="#_x0000_t202" style="width:50pt;height:12.2pt;margin-top:-29.47pt;margin-left:408.5pt;mso-position-horizontal-relative:page;position:absolute;z-index:-251654144" filled="f" stroked="f">
            <v:textbox inset="0,0,0,0">
              <w:txbxContent>
                <w:p>
                  <w:pPr>
                    <w:spacing w:before="0" w:line="244" w:lineRule="exact"/>
                    <w:ind w:left="0" w:right="0" w:firstLine="0"/>
                    <w:jc w:val="left"/>
                    <w:rPr>
                      <w:sz w:val="20"/>
                    </w:rPr>
                  </w:pPr>
                  <w:r>
                    <w:rPr>
                      <w:color w:val="231F20"/>
                      <w:sz w:val="20"/>
                    </w:rPr>
                    <w:t>│ 目录 │</w:t>
                  </w:r>
                </w:p>
              </w:txbxContent>
            </v:textbox>
          </v:shape>
        </w:pict>
      </w:r>
      <w:r>
        <w:rPr>
          <w:color w:val="231F20"/>
          <w:sz w:val="44"/>
        </w:rPr>
        <w:t>目</w:t>
        <w:tab/>
        <w:t>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6"/>
        </w:rPr>
      </w:pPr>
    </w:p>
    <w:sdt>
      <w:sdtPr>
        <w:id w:val="414144925"/>
        <w:docPartObj>
          <w:docPartGallery w:val="Table of Contents"/>
          <w:docPartUnique/>
        </w:docPartObj>
      </w:sdtPr>
      <w:sdtContent>
        <w:p>
          <w:pPr>
            <w:pStyle w:val="TOC1"/>
            <w:tabs>
              <w:tab w:val="right" w:leader="dot" w:pos="7544"/>
            </w:tabs>
            <w:spacing w:before="129"/>
            <w:rPr>
              <w:rFonts w:ascii="Times New Roman" w:eastAsia="Times New Roman"/>
            </w:rPr>
          </w:pPr>
          <w:hyperlink w:anchor="_TOC_250002" w:history="1">
            <w:r>
              <w:rPr>
                <w:color w:val="231F20"/>
              </w:rPr>
              <w:t>一、课程性质与基本理念</w:t>
              <w:tab/>
            </w:r>
            <w:r>
              <w:rPr>
                <w:rFonts w:ascii="Times New Roman" w:eastAsia="Times New Roman"/>
                <w:color w:val="231F20"/>
              </w:rPr>
              <w:t>1</w:t>
            </w:r>
          </w:hyperlink>
        </w:p>
        <w:p>
          <w:pPr>
            <w:pStyle w:val="TOC2"/>
            <w:spacing w:before="378"/>
            <w:rPr>
              <w:rFonts w:ascii="Times New Roman" w:eastAsia="Times New Roman"/>
            </w:rPr>
          </w:pPr>
          <w:r>
            <w:rPr>
              <w:color w:val="231F20"/>
            </w:rPr>
            <w:t>（一）</w:t>
          </w:r>
          <w:r>
            <w:rPr>
              <w:color w:val="231F20"/>
              <w:spacing w:val="-10"/>
            </w:rPr>
            <w:t xml:space="preserve">课程性质／ </w:t>
          </w:r>
          <w:r>
            <w:rPr>
              <w:rFonts w:ascii="Times New Roman" w:eastAsia="Times New Roman"/>
              <w:color w:val="231F20"/>
            </w:rPr>
            <w:t>1</w:t>
          </w:r>
        </w:p>
        <w:p>
          <w:pPr>
            <w:pStyle w:val="TOC2"/>
            <w:rPr>
              <w:rFonts w:ascii="Times New Roman" w:eastAsia="Times New Roman"/>
            </w:rPr>
          </w:pPr>
          <w:r>
            <w:rPr>
              <w:color w:val="231F20"/>
            </w:rPr>
            <w:t>（二）</w:t>
          </w:r>
          <w:r>
            <w:rPr>
              <w:color w:val="231F20"/>
              <w:spacing w:val="-10"/>
            </w:rPr>
            <w:t xml:space="preserve">基本理念／ </w:t>
          </w:r>
          <w:r>
            <w:rPr>
              <w:rFonts w:ascii="Times New Roman" w:eastAsia="Times New Roman"/>
              <w:color w:val="231F20"/>
            </w:rPr>
            <w:t>2</w:t>
          </w:r>
        </w:p>
        <w:p>
          <w:pPr>
            <w:pStyle w:val="TOC1"/>
            <w:tabs>
              <w:tab w:val="right" w:leader="dot" w:pos="7544"/>
            </w:tabs>
            <w:rPr>
              <w:rFonts w:ascii="Times New Roman" w:eastAsia="Times New Roman"/>
            </w:rPr>
          </w:pPr>
          <w:hyperlink w:anchor="_TOC_250001" w:history="1">
            <w:r>
              <w:rPr>
                <w:color w:val="231F20"/>
              </w:rPr>
              <w:t>二、学科核心素养与课程目标</w:t>
              <w:tab/>
            </w:r>
            <w:r>
              <w:rPr>
                <w:rFonts w:ascii="Times New Roman" w:eastAsia="Times New Roman"/>
                <w:color w:val="231F20"/>
              </w:rPr>
              <w:t>4</w:t>
            </w:r>
          </w:hyperlink>
        </w:p>
        <w:p>
          <w:pPr>
            <w:pStyle w:val="TOC2"/>
            <w:spacing w:before="378"/>
            <w:rPr>
              <w:rFonts w:ascii="Times New Roman" w:eastAsia="Times New Roman"/>
            </w:rPr>
          </w:pPr>
          <w:r>
            <w:rPr>
              <w:color w:val="231F20"/>
            </w:rPr>
            <w:t xml:space="preserve">（一）学科核心素养／ </w:t>
          </w:r>
          <w:r>
            <w:rPr>
              <w:rFonts w:ascii="Times New Roman" w:eastAsia="Times New Roman"/>
              <w:color w:val="231F20"/>
            </w:rPr>
            <w:t>4</w:t>
          </w:r>
        </w:p>
        <w:p>
          <w:pPr>
            <w:pStyle w:val="TOC2"/>
            <w:spacing w:before="213"/>
            <w:rPr>
              <w:rFonts w:ascii="Times New Roman" w:eastAsia="Times New Roman"/>
            </w:rPr>
          </w:pPr>
          <w:r>
            <w:rPr>
              <w:color w:val="231F20"/>
            </w:rPr>
            <w:t xml:space="preserve">（二）课程目标／ </w:t>
          </w:r>
          <w:r>
            <w:rPr>
              <w:rFonts w:ascii="Times New Roman" w:eastAsia="Times New Roman"/>
              <w:color w:val="231F20"/>
            </w:rPr>
            <w:t>6</w:t>
          </w:r>
        </w:p>
        <w:p>
          <w:pPr>
            <w:pStyle w:val="TOC1"/>
            <w:tabs>
              <w:tab w:val="right" w:leader="dot" w:pos="7544"/>
            </w:tabs>
            <w:rPr>
              <w:rFonts w:ascii="Times New Roman" w:eastAsia="Times New Roman"/>
            </w:rPr>
          </w:pPr>
          <w:hyperlink w:anchor="_TOC_250000" w:history="1">
            <w:r>
              <w:rPr>
                <w:color w:val="231F20"/>
              </w:rPr>
              <w:t>三、课程结构</w:t>
              <w:tab/>
            </w:r>
            <w:r>
              <w:rPr>
                <w:rFonts w:ascii="Times New Roman" w:eastAsia="Times New Roman"/>
                <w:color w:val="231F20"/>
              </w:rPr>
              <w:t>7</w:t>
            </w:r>
          </w:hyperlink>
        </w:p>
      </w:sdtContent>
    </w:sdt>
    <w:p>
      <w:pPr>
        <w:pStyle w:val="BodyText"/>
        <w:spacing w:before="9"/>
        <w:rPr>
          <w:rFonts w:ascii="Times New Roman"/>
          <w:sz w:val="32"/>
        </w:rPr>
      </w:pPr>
    </w:p>
    <w:p>
      <w:pPr>
        <w:pStyle w:val="BodyText"/>
        <w:spacing w:before="1"/>
        <w:ind w:left="2565"/>
        <w:rPr>
          <w:rFonts w:ascii="Times New Roman" w:eastAsia="Times New Roman"/>
        </w:rPr>
      </w:pPr>
      <w:r>
        <w:rPr>
          <w:color w:val="231F20"/>
        </w:rPr>
        <w:t xml:space="preserve">（一）设计依据／ </w:t>
      </w:r>
      <w:r>
        <w:rPr>
          <w:rFonts w:ascii="Times New Roman" w:eastAsia="Times New Roman"/>
          <w:color w:val="231F20"/>
        </w:rPr>
        <w:t>7</w:t>
      </w:r>
    </w:p>
    <w:p>
      <w:pPr>
        <w:pStyle w:val="BodyText"/>
        <w:spacing w:before="212"/>
        <w:ind w:left="2565"/>
        <w:rPr>
          <w:rFonts w:ascii="Times New Roman" w:eastAsia="Times New Roman"/>
        </w:rPr>
      </w:pPr>
      <w:r>
        <w:rPr>
          <w:color w:val="231F20"/>
        </w:rPr>
        <w:t xml:space="preserve">（二）结构／ </w:t>
      </w:r>
      <w:r>
        <w:rPr>
          <w:rFonts w:ascii="Times New Roman" w:eastAsia="Times New Roman"/>
          <w:color w:val="231F20"/>
        </w:rPr>
        <w:t>8</w:t>
      </w:r>
    </w:p>
    <w:p>
      <w:pPr>
        <w:pStyle w:val="BodyText"/>
        <w:spacing w:before="213"/>
        <w:ind w:left="2565"/>
        <w:rPr>
          <w:rFonts w:ascii="Times New Roman" w:eastAsia="Times New Roman"/>
        </w:rPr>
      </w:pPr>
      <w:r>
        <w:rPr>
          <w:color w:val="231F20"/>
        </w:rPr>
        <w:t xml:space="preserve">（三）学分与选课／ </w:t>
      </w:r>
      <w:r>
        <w:rPr>
          <w:rFonts w:ascii="Times New Roman" w:eastAsia="Times New Roman"/>
          <w:color w:val="231F20"/>
        </w:rPr>
        <w:t>9</w:t>
      </w:r>
    </w:p>
    <w:p>
      <w:pPr>
        <w:pStyle w:val="BodyText"/>
        <w:rPr>
          <w:rFonts w:ascii="Times New Roman"/>
          <w:sz w:val="26"/>
        </w:rPr>
      </w:pPr>
    </w:p>
    <w:p>
      <w:pPr>
        <w:pStyle w:val="BodyText"/>
        <w:spacing w:before="5"/>
        <w:rPr>
          <w:rFonts w:ascii="Times New Roman"/>
          <w:sz w:val="31"/>
        </w:rPr>
      </w:pPr>
    </w:p>
    <w:p>
      <w:pPr>
        <w:pStyle w:val="BodyText"/>
        <w:tabs>
          <w:tab w:val="left" w:leader="dot" w:pos="7304"/>
        </w:tabs>
        <w:ind w:left="2205"/>
        <w:rPr>
          <w:rFonts w:ascii="Times New Roman" w:eastAsia="Times New Roman"/>
        </w:rPr>
      </w:pPr>
      <w:r>
        <w:rPr>
          <w:color w:val="231F20"/>
        </w:rPr>
        <w:t>四、课程内容</w:t>
        <w:tab/>
      </w:r>
      <w:r>
        <w:rPr>
          <w:rFonts w:ascii="Times New Roman" w:eastAsia="Times New Roman"/>
          <w:color w:val="231F20"/>
        </w:rPr>
        <w:t>11</w:t>
      </w:r>
    </w:p>
    <w:p>
      <w:pPr>
        <w:pStyle w:val="BodyText"/>
        <w:spacing w:before="10"/>
        <w:rPr>
          <w:rFonts w:ascii="Times New Roman"/>
          <w:sz w:val="32"/>
        </w:rPr>
      </w:pPr>
    </w:p>
    <w:p>
      <w:pPr>
        <w:pStyle w:val="BodyText"/>
        <w:ind w:left="2565"/>
        <w:rPr>
          <w:rFonts w:ascii="Times New Roman" w:eastAsia="Times New Roman"/>
        </w:rPr>
      </w:pPr>
      <w:r>
        <w:rPr>
          <w:color w:val="231F20"/>
        </w:rPr>
        <w:t xml:space="preserve">（一）必修课程／ </w:t>
      </w:r>
      <w:r>
        <w:rPr>
          <w:rFonts w:ascii="Times New Roman" w:eastAsia="Times New Roman"/>
          <w:color w:val="231F20"/>
        </w:rPr>
        <w:t>11</w:t>
      </w:r>
    </w:p>
    <w:p>
      <w:pPr>
        <w:spacing w:after="0"/>
        <w:rPr>
          <w:rFonts w:ascii="Times New Roman" w:eastAsia="Times New Roman"/>
        </w:rPr>
        <w:sectPr>
          <w:headerReference w:type="default" r:id="rId13"/>
          <w:footerReference w:type="default" r:id="rId14"/>
          <w:pgSz w:w="10780" w:h="15090"/>
          <w:pgMar w:top="900" w:right="1460" w:bottom="1400" w:left="1480" w:header="0" w:footer="1217"/>
          <w:pgNumType w:start="1"/>
          <w:cols w:space="708"/>
        </w:sectPr>
      </w:pPr>
    </w:p>
    <w:p>
      <w:pPr>
        <w:pStyle w:val="BodyText"/>
        <w:spacing w:before="59"/>
        <w:ind w:left="220"/>
      </w:pPr>
      <w:r>
        <w:rPr>
          <w:color w:val="231F20"/>
        </w:rPr>
        <w:t>普通高中生物学课程标准（2017年版2020年修订）</w:t>
      </w:r>
    </w:p>
    <w:p>
      <w:pPr>
        <w:pStyle w:val="BodyText"/>
        <w:spacing w:before="7"/>
        <w:rPr>
          <w:sz w:val="35"/>
        </w:rPr>
      </w:pPr>
    </w:p>
    <w:p>
      <w:pPr>
        <w:pStyle w:val="BodyText"/>
        <w:tabs>
          <w:tab w:val="left" w:pos="3994"/>
        </w:tabs>
        <w:ind w:left="3094"/>
        <w:rPr>
          <w:rFonts w:ascii="Times New Roman" w:eastAsia="Times New Roman"/>
        </w:rPr>
      </w:pPr>
      <w:r>
        <w:rPr>
          <w:color w:val="231F20"/>
        </w:rPr>
        <w:t>模块</w:t>
      </w:r>
      <w:r>
        <w:rPr>
          <w:color w:val="231F20"/>
          <w:spacing w:val="-60"/>
        </w:rPr>
        <w:t xml:space="preserve"> </w:t>
      </w:r>
      <w:r>
        <w:rPr>
          <w:rFonts w:ascii="Times New Roman" w:eastAsia="Times New Roman"/>
          <w:color w:val="231F20"/>
        </w:rPr>
        <w:t>1</w:t>
        <w:tab/>
      </w:r>
      <w:r>
        <w:rPr>
          <w:color w:val="231F20"/>
        </w:rPr>
        <w:t>分子与细胞／</w:t>
      </w:r>
      <w:r>
        <w:rPr>
          <w:color w:val="231F20"/>
          <w:spacing w:val="-60"/>
        </w:rPr>
        <w:t xml:space="preserve"> </w:t>
      </w:r>
      <w:r>
        <w:rPr>
          <w:rFonts w:ascii="Times New Roman" w:eastAsia="Times New Roman"/>
          <w:color w:val="231F20"/>
        </w:rPr>
        <w:t>11</w:t>
      </w:r>
    </w:p>
    <w:p>
      <w:pPr>
        <w:pStyle w:val="BodyText"/>
        <w:tabs>
          <w:tab w:val="left" w:pos="3994"/>
        </w:tabs>
        <w:spacing w:before="212"/>
        <w:ind w:left="3094"/>
        <w:rPr>
          <w:rFonts w:ascii="Times New Roman" w:eastAsia="Times New Roman"/>
        </w:rPr>
      </w:pPr>
      <w:r>
        <w:rPr>
          <w:color w:val="231F20"/>
        </w:rPr>
        <w:t>模块</w:t>
      </w:r>
      <w:r>
        <w:rPr>
          <w:color w:val="231F20"/>
          <w:spacing w:val="-60"/>
        </w:rPr>
        <w:t xml:space="preserve"> </w:t>
      </w:r>
      <w:r>
        <w:rPr>
          <w:rFonts w:ascii="Times New Roman" w:eastAsia="Times New Roman"/>
          <w:color w:val="231F20"/>
        </w:rPr>
        <w:t>2</w:t>
        <w:tab/>
      </w:r>
      <w:r>
        <w:rPr>
          <w:color w:val="231F20"/>
        </w:rPr>
        <w:t>遗传与进化／</w:t>
      </w:r>
      <w:r>
        <w:rPr>
          <w:color w:val="231F20"/>
          <w:spacing w:val="-60"/>
        </w:rPr>
        <w:t xml:space="preserve"> </w:t>
      </w:r>
      <w:r>
        <w:rPr>
          <w:rFonts w:ascii="Times New Roman" w:eastAsia="Times New Roman"/>
          <w:color w:val="231F20"/>
        </w:rPr>
        <w:t>15</w:t>
      </w:r>
    </w:p>
    <w:p>
      <w:pPr>
        <w:pStyle w:val="BodyText"/>
        <w:spacing w:before="213"/>
        <w:ind w:left="2394"/>
        <w:rPr>
          <w:rFonts w:ascii="Times New Roman" w:eastAsia="Times New Roman"/>
        </w:rPr>
      </w:pPr>
      <w:r>
        <w:rPr>
          <w:color w:val="231F20"/>
        </w:rPr>
        <w:t xml:space="preserve">（二）选择性必修课程／ </w:t>
      </w:r>
      <w:r>
        <w:rPr>
          <w:rFonts w:ascii="Times New Roman" w:eastAsia="Times New Roman"/>
          <w:color w:val="231F20"/>
        </w:rPr>
        <w:t>19</w:t>
      </w:r>
    </w:p>
    <w:p>
      <w:pPr>
        <w:pStyle w:val="BodyText"/>
        <w:tabs>
          <w:tab w:val="left" w:pos="3994"/>
        </w:tabs>
        <w:spacing w:before="212"/>
        <w:ind w:left="3094"/>
        <w:rPr>
          <w:rFonts w:ascii="Times New Roman" w:eastAsia="Times New Roman"/>
        </w:rPr>
      </w:pPr>
      <w:r>
        <w:rPr>
          <w:color w:val="231F20"/>
        </w:rPr>
        <w:t>模块</w:t>
      </w:r>
      <w:r>
        <w:rPr>
          <w:color w:val="231F20"/>
          <w:spacing w:val="-60"/>
        </w:rPr>
        <w:t xml:space="preserve"> </w:t>
      </w:r>
      <w:r>
        <w:rPr>
          <w:rFonts w:ascii="Times New Roman" w:eastAsia="Times New Roman"/>
          <w:color w:val="231F20"/>
        </w:rPr>
        <w:t>1</w:t>
        <w:tab/>
      </w:r>
      <w:r>
        <w:rPr>
          <w:color w:val="231F20"/>
        </w:rPr>
        <w:t>稳态与调节／</w:t>
      </w:r>
      <w:r>
        <w:rPr>
          <w:color w:val="231F20"/>
          <w:spacing w:val="-60"/>
        </w:rPr>
        <w:t xml:space="preserve"> </w:t>
      </w:r>
      <w:r>
        <w:rPr>
          <w:rFonts w:ascii="Times New Roman" w:eastAsia="Times New Roman"/>
          <w:color w:val="231F20"/>
        </w:rPr>
        <w:t>19</w:t>
      </w:r>
    </w:p>
    <w:p>
      <w:pPr>
        <w:pStyle w:val="BodyText"/>
        <w:tabs>
          <w:tab w:val="left" w:pos="3994"/>
        </w:tabs>
        <w:spacing w:before="213"/>
        <w:ind w:left="3094"/>
        <w:rPr>
          <w:rFonts w:ascii="Times New Roman" w:eastAsia="Times New Roman"/>
        </w:rPr>
      </w:pPr>
      <w:r>
        <w:rPr>
          <w:color w:val="231F20"/>
        </w:rPr>
        <w:t>模块</w:t>
      </w:r>
      <w:r>
        <w:rPr>
          <w:color w:val="231F20"/>
          <w:spacing w:val="-60"/>
        </w:rPr>
        <w:t xml:space="preserve"> </w:t>
      </w:r>
      <w:r>
        <w:rPr>
          <w:rFonts w:ascii="Times New Roman" w:eastAsia="Times New Roman"/>
          <w:color w:val="231F20"/>
        </w:rPr>
        <w:t>2</w:t>
        <w:tab/>
      </w:r>
      <w:r>
        <w:rPr>
          <w:color w:val="231F20"/>
        </w:rPr>
        <w:t>生物与环境／</w:t>
      </w:r>
      <w:r>
        <w:rPr>
          <w:color w:val="231F20"/>
          <w:spacing w:val="-60"/>
        </w:rPr>
        <w:t xml:space="preserve"> </w:t>
      </w:r>
      <w:r>
        <w:rPr>
          <w:rFonts w:ascii="Times New Roman" w:eastAsia="Times New Roman"/>
          <w:color w:val="231F20"/>
        </w:rPr>
        <w:t>23</w:t>
      </w:r>
    </w:p>
    <w:p>
      <w:pPr>
        <w:pStyle w:val="BodyText"/>
        <w:tabs>
          <w:tab w:val="left" w:pos="3994"/>
        </w:tabs>
        <w:spacing w:before="213"/>
        <w:ind w:left="3094"/>
        <w:rPr>
          <w:rFonts w:ascii="Times New Roman" w:eastAsia="Times New Roman"/>
        </w:rPr>
      </w:pPr>
      <w:r>
        <w:rPr>
          <w:color w:val="231F20"/>
        </w:rPr>
        <w:t>模块</w:t>
      </w:r>
      <w:r>
        <w:rPr>
          <w:color w:val="231F20"/>
          <w:spacing w:val="-60"/>
        </w:rPr>
        <w:t xml:space="preserve"> </w:t>
      </w:r>
      <w:r>
        <w:rPr>
          <w:rFonts w:ascii="Times New Roman" w:eastAsia="Times New Roman"/>
          <w:color w:val="231F20"/>
        </w:rPr>
        <w:t>3</w:t>
        <w:tab/>
      </w:r>
      <w:r>
        <w:rPr>
          <w:color w:val="231F20"/>
        </w:rPr>
        <w:t>生物技术与工程／</w:t>
      </w:r>
      <w:r>
        <w:rPr>
          <w:color w:val="231F20"/>
          <w:spacing w:val="-60"/>
        </w:rPr>
        <w:t xml:space="preserve"> </w:t>
      </w:r>
      <w:r>
        <w:rPr>
          <w:rFonts w:ascii="Times New Roman" w:eastAsia="Times New Roman"/>
          <w:color w:val="231F20"/>
        </w:rPr>
        <w:t>27</w:t>
      </w:r>
    </w:p>
    <w:p>
      <w:pPr>
        <w:pStyle w:val="BodyText"/>
        <w:spacing w:before="212"/>
        <w:ind w:left="2394"/>
        <w:rPr>
          <w:rFonts w:ascii="Times New Roman" w:eastAsia="Times New Roman"/>
        </w:rPr>
      </w:pPr>
      <w:r>
        <w:rPr>
          <w:color w:val="231F20"/>
        </w:rPr>
        <w:t xml:space="preserve">（三）选修课程／ </w:t>
      </w:r>
      <w:r>
        <w:rPr>
          <w:rFonts w:ascii="Times New Roman" w:eastAsia="Times New Roman"/>
          <w:color w:val="231F20"/>
        </w:rPr>
        <w:t>31</w:t>
      </w:r>
    </w:p>
    <w:p>
      <w:pPr>
        <w:pStyle w:val="BodyText"/>
        <w:spacing w:before="213"/>
        <w:ind w:left="3094"/>
        <w:rPr>
          <w:rFonts w:ascii="Times New Roman" w:eastAsia="Times New Roman"/>
        </w:rPr>
      </w:pPr>
      <w:r>
        <w:rPr>
          <w:color w:val="231F20"/>
          <w:spacing w:val="-8"/>
        </w:rPr>
        <w:t xml:space="preserve">现实生活应用／ </w:t>
      </w:r>
      <w:r>
        <w:rPr>
          <w:rFonts w:ascii="Times New Roman" w:eastAsia="Times New Roman"/>
          <w:color w:val="231F20"/>
        </w:rPr>
        <w:t>32</w:t>
      </w:r>
    </w:p>
    <w:p>
      <w:pPr>
        <w:pStyle w:val="BodyText"/>
        <w:spacing w:before="212"/>
        <w:ind w:left="3094"/>
        <w:rPr>
          <w:rFonts w:ascii="Times New Roman" w:eastAsia="Times New Roman"/>
        </w:rPr>
      </w:pPr>
      <w:r>
        <w:rPr>
          <w:color w:val="231F20"/>
          <w:spacing w:val="-8"/>
        </w:rPr>
        <w:t xml:space="preserve">职业规划前瞻／ </w:t>
      </w:r>
      <w:r>
        <w:rPr>
          <w:rFonts w:ascii="Times New Roman" w:eastAsia="Times New Roman"/>
          <w:color w:val="231F20"/>
        </w:rPr>
        <w:t>37</w:t>
      </w:r>
    </w:p>
    <w:p>
      <w:pPr>
        <w:pStyle w:val="BodyText"/>
        <w:spacing w:before="213"/>
        <w:ind w:left="3094"/>
        <w:rPr>
          <w:rFonts w:ascii="Times New Roman" w:eastAsia="Times New Roman"/>
        </w:rPr>
      </w:pPr>
      <w:r>
        <w:rPr>
          <w:color w:val="231F20"/>
          <w:spacing w:val="-8"/>
        </w:rPr>
        <w:t xml:space="preserve">学业发展基础／ </w:t>
      </w:r>
      <w:r>
        <w:rPr>
          <w:rFonts w:ascii="Times New Roman" w:eastAsia="Times New Roman"/>
          <w:color w:val="231F20"/>
        </w:rPr>
        <w:t>44</w:t>
      </w:r>
    </w:p>
    <w:p>
      <w:pPr>
        <w:pStyle w:val="BodyText"/>
        <w:tabs>
          <w:tab w:val="right" w:leader="dot" w:pos="6917"/>
        </w:tabs>
        <w:spacing w:before="661"/>
        <w:ind w:left="1578"/>
        <w:jc w:val="center"/>
        <w:rPr>
          <w:rFonts w:ascii="Times New Roman" w:eastAsia="Times New Roman"/>
        </w:rPr>
      </w:pPr>
      <w:r>
        <w:rPr>
          <w:color w:val="231F20"/>
        </w:rPr>
        <w:t>五、学业质量</w:t>
        <w:tab/>
      </w:r>
      <w:r>
        <w:rPr>
          <w:rFonts w:ascii="Times New Roman" w:eastAsia="Times New Roman"/>
          <w:color w:val="231F20"/>
        </w:rPr>
        <w:t>51</w:t>
      </w:r>
    </w:p>
    <w:p>
      <w:pPr>
        <w:pStyle w:val="BodyText"/>
        <w:spacing w:before="10"/>
        <w:rPr>
          <w:rFonts w:ascii="Times New Roman"/>
          <w:sz w:val="32"/>
        </w:rPr>
      </w:pPr>
    </w:p>
    <w:p>
      <w:pPr>
        <w:pStyle w:val="BodyText"/>
        <w:ind w:left="2394"/>
        <w:rPr>
          <w:rFonts w:ascii="Times New Roman" w:eastAsia="Times New Roman"/>
        </w:rPr>
      </w:pPr>
      <w:r>
        <w:rPr>
          <w:color w:val="231F20"/>
        </w:rPr>
        <w:t>（一）</w:t>
      </w:r>
      <w:r>
        <w:rPr>
          <w:color w:val="231F20"/>
          <w:spacing w:val="-8"/>
        </w:rPr>
        <w:t xml:space="preserve">学业质量内涵／ </w:t>
      </w:r>
      <w:r>
        <w:rPr>
          <w:rFonts w:ascii="Times New Roman" w:eastAsia="Times New Roman"/>
          <w:color w:val="231F20"/>
        </w:rPr>
        <w:t>51</w:t>
      </w:r>
    </w:p>
    <w:p>
      <w:pPr>
        <w:pStyle w:val="BodyText"/>
        <w:spacing w:before="212"/>
        <w:ind w:left="2394"/>
        <w:rPr>
          <w:rFonts w:ascii="Times New Roman" w:eastAsia="Times New Roman"/>
        </w:rPr>
      </w:pPr>
      <w:r>
        <w:rPr>
          <w:color w:val="231F20"/>
        </w:rPr>
        <w:t>（二）</w:t>
      </w:r>
      <w:r>
        <w:rPr>
          <w:color w:val="231F20"/>
          <w:spacing w:val="-8"/>
        </w:rPr>
        <w:t xml:space="preserve">学业质量水平／ </w:t>
      </w:r>
      <w:r>
        <w:rPr>
          <w:rFonts w:ascii="Times New Roman" w:eastAsia="Times New Roman"/>
          <w:color w:val="231F20"/>
        </w:rPr>
        <w:t>51</w:t>
      </w:r>
    </w:p>
    <w:p>
      <w:pPr>
        <w:pStyle w:val="BodyText"/>
        <w:spacing w:before="213"/>
        <w:ind w:left="2349" w:right="771"/>
        <w:jc w:val="center"/>
        <w:rPr>
          <w:rFonts w:ascii="Times New Roman" w:eastAsia="Times New Roman"/>
        </w:rPr>
      </w:pPr>
      <w:r>
        <w:rPr>
          <w:color w:val="231F20"/>
        </w:rPr>
        <w:t xml:space="preserve">（三）学业质量水平与考试评价的关系／ </w:t>
      </w:r>
      <w:r>
        <w:rPr>
          <w:rFonts w:ascii="Times New Roman" w:eastAsia="Times New Roman"/>
          <w:color w:val="231F20"/>
        </w:rPr>
        <w:t>54</w:t>
      </w:r>
    </w:p>
    <w:p>
      <w:pPr>
        <w:pStyle w:val="BodyText"/>
        <w:rPr>
          <w:rFonts w:ascii="Times New Roman"/>
          <w:sz w:val="26"/>
        </w:rPr>
      </w:pPr>
    </w:p>
    <w:p>
      <w:pPr>
        <w:pStyle w:val="BodyText"/>
        <w:spacing w:before="5"/>
        <w:rPr>
          <w:rFonts w:ascii="Times New Roman"/>
          <w:sz w:val="31"/>
        </w:rPr>
      </w:pPr>
    </w:p>
    <w:p>
      <w:pPr>
        <w:pStyle w:val="BodyText"/>
        <w:tabs>
          <w:tab w:val="left" w:leader="dot" w:pos="6677"/>
        </w:tabs>
        <w:ind w:left="1578"/>
        <w:jc w:val="center"/>
        <w:rPr>
          <w:rFonts w:ascii="Times New Roman" w:eastAsia="Times New Roman"/>
        </w:rPr>
      </w:pPr>
      <w:r>
        <w:rPr>
          <w:color w:val="231F20"/>
        </w:rPr>
        <w:t>六、实施建议</w:t>
        <w:tab/>
      </w:r>
      <w:r>
        <w:rPr>
          <w:rFonts w:ascii="Times New Roman" w:eastAsia="Times New Roman"/>
          <w:color w:val="231F20"/>
        </w:rPr>
        <w:t>56</w:t>
      </w:r>
    </w:p>
    <w:p>
      <w:pPr>
        <w:pStyle w:val="BodyText"/>
        <w:spacing w:before="10"/>
        <w:rPr>
          <w:rFonts w:ascii="Times New Roman"/>
          <w:sz w:val="32"/>
        </w:rPr>
      </w:pPr>
    </w:p>
    <w:p>
      <w:pPr>
        <w:pStyle w:val="BodyText"/>
        <w:ind w:left="2394"/>
        <w:rPr>
          <w:rFonts w:ascii="Times New Roman" w:eastAsia="Times New Roman"/>
        </w:rPr>
      </w:pPr>
      <w:r>
        <w:rPr>
          <w:color w:val="231F20"/>
        </w:rPr>
        <w:t xml:space="preserve">（一）教学与评价建议／ </w:t>
      </w:r>
      <w:r>
        <w:rPr>
          <w:rFonts w:ascii="Times New Roman" w:eastAsia="Times New Roman"/>
          <w:color w:val="231F20"/>
        </w:rPr>
        <w:t>56</w:t>
      </w:r>
    </w:p>
    <w:p>
      <w:pPr>
        <w:pStyle w:val="BodyText"/>
        <w:spacing w:before="213"/>
        <w:ind w:left="2394"/>
        <w:rPr>
          <w:rFonts w:ascii="Times New Roman" w:eastAsia="Times New Roman"/>
        </w:rPr>
      </w:pPr>
      <w:r>
        <w:rPr>
          <w:color w:val="231F20"/>
        </w:rPr>
        <w:t xml:space="preserve">（二）学业水平考试与命题建议／ </w:t>
      </w:r>
      <w:r>
        <w:rPr>
          <w:rFonts w:ascii="Times New Roman" w:eastAsia="Times New Roman"/>
          <w:color w:val="231F20"/>
        </w:rPr>
        <w:t>63</w:t>
      </w:r>
    </w:p>
    <w:p>
      <w:pPr>
        <w:pStyle w:val="BodyText"/>
        <w:spacing w:before="213"/>
        <w:ind w:left="2394"/>
        <w:rPr>
          <w:rFonts w:ascii="Times New Roman" w:eastAsia="Times New Roman"/>
        </w:rPr>
      </w:pPr>
      <w:r>
        <w:rPr>
          <w:color w:val="231F20"/>
        </w:rPr>
        <w:t xml:space="preserve">（三）教材编写建议／ </w:t>
      </w:r>
      <w:r>
        <w:rPr>
          <w:rFonts w:ascii="Times New Roman" w:eastAsia="Times New Roman"/>
          <w:color w:val="231F20"/>
        </w:rPr>
        <w:t>64</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7"/>
        </w:rPr>
      </w:pPr>
    </w:p>
    <w:p>
      <w:pPr>
        <w:spacing w:before="93"/>
        <w:ind w:left="220" w:right="0" w:firstLine="0"/>
        <w:jc w:val="left"/>
        <w:rPr>
          <w:rFonts w:ascii="Times New Roman"/>
          <w:sz w:val="21"/>
        </w:rPr>
      </w:pPr>
      <w:r>
        <w:rPr>
          <w:rFonts w:ascii="Times New Roman"/>
          <w:color w:val="231F20"/>
          <w:sz w:val="21"/>
        </w:rPr>
        <w:t>2</w:t>
      </w:r>
    </w:p>
    <w:p>
      <w:pPr>
        <w:spacing w:after="0"/>
        <w:jc w:val="left"/>
        <w:rPr>
          <w:rFonts w:ascii="Times New Roman"/>
          <w:sz w:val="21"/>
        </w:rPr>
        <w:sectPr>
          <w:headerReference w:type="even" r:id="rId15"/>
          <w:footerReference w:type="even" r:id="rId16"/>
          <w:pgSz w:w="10780" w:h="15090"/>
          <w:pgMar w:top="900" w:right="1460" w:bottom="280" w:left="1480" w:header="0" w:footer="0"/>
          <w:cols w:space="708"/>
        </w:sectPr>
      </w:pPr>
    </w:p>
    <w:p>
      <w:pPr>
        <w:spacing w:before="79"/>
        <w:ind w:left="0" w:right="139" w:firstLine="0"/>
        <w:jc w:val="right"/>
        <w:rPr>
          <w:sz w:val="20"/>
        </w:rPr>
      </w:pPr>
      <w:r>
        <w:rPr>
          <w:color w:val="231F20"/>
          <w:sz w:val="20"/>
        </w:rPr>
        <w:t>│ 目录 │</w:t>
      </w:r>
    </w:p>
    <w:p>
      <w:pPr>
        <w:pStyle w:val="BodyText"/>
        <w:spacing w:before="11"/>
        <w:rPr>
          <w:sz w:val="34"/>
        </w:rPr>
      </w:pPr>
    </w:p>
    <w:p>
      <w:pPr>
        <w:pStyle w:val="BodyText"/>
        <w:ind w:left="2565"/>
        <w:rPr>
          <w:rFonts w:ascii="Times New Roman" w:eastAsia="Times New Roman"/>
        </w:rPr>
      </w:pPr>
      <w:r>
        <w:rPr>
          <w:color w:val="231F20"/>
        </w:rPr>
        <w:t xml:space="preserve">（四）地方和学校实施本课程的建议／ </w:t>
      </w:r>
      <w:r>
        <w:rPr>
          <w:rFonts w:ascii="Times New Roman" w:eastAsia="Times New Roman"/>
          <w:color w:val="231F20"/>
        </w:rPr>
        <w:t>68</w:t>
      </w:r>
    </w:p>
    <w:p>
      <w:pPr>
        <w:pStyle w:val="BodyText"/>
        <w:tabs>
          <w:tab w:val="right" w:leader="dot" w:pos="7544"/>
        </w:tabs>
        <w:spacing w:before="661"/>
        <w:ind w:left="2205"/>
        <w:rPr>
          <w:rFonts w:ascii="Times New Roman" w:eastAsia="Times New Roman"/>
        </w:rPr>
      </w:pPr>
      <w:r>
        <w:rPr>
          <w:color w:val="231F20"/>
        </w:rPr>
        <w:t>附录</w:t>
        <w:tab/>
      </w:r>
      <w:r>
        <w:rPr>
          <w:rFonts w:ascii="Times New Roman" w:eastAsia="Times New Roman"/>
          <w:color w:val="231F20"/>
        </w:rPr>
        <w:t>74</w:t>
      </w:r>
    </w:p>
    <w:p>
      <w:pPr>
        <w:pStyle w:val="BodyText"/>
        <w:tabs>
          <w:tab w:val="left" w:pos="3554"/>
        </w:tabs>
        <w:spacing w:before="378"/>
        <w:ind w:left="2685"/>
        <w:rPr>
          <w:rFonts w:ascii="Times New Roman" w:eastAsia="Times New Roman"/>
        </w:rPr>
      </w:pPr>
      <w:r>
        <w:rPr>
          <w:color w:val="231F20"/>
        </w:rPr>
        <w:t>附</w:t>
      </w:r>
      <w:r>
        <w:rPr>
          <w:color w:val="231F20"/>
          <w:spacing w:val="30"/>
        </w:rPr>
        <w:t>录</w:t>
      </w:r>
      <w:r>
        <w:rPr>
          <w:rFonts w:ascii="Times New Roman" w:eastAsia="Times New Roman"/>
          <w:color w:val="231F20"/>
        </w:rPr>
        <w:t>1</w:t>
        <w:tab/>
      </w:r>
      <w:r>
        <w:rPr>
          <w:color w:val="231F20"/>
        </w:rPr>
        <w:t>学科核心素养水平划分／</w:t>
      </w:r>
      <w:r>
        <w:rPr>
          <w:color w:val="231F20"/>
          <w:spacing w:val="-60"/>
        </w:rPr>
        <w:t xml:space="preserve"> </w:t>
      </w:r>
      <w:r>
        <w:rPr>
          <w:rFonts w:ascii="Times New Roman" w:eastAsia="Times New Roman"/>
          <w:color w:val="231F20"/>
        </w:rPr>
        <w:t>74</w:t>
      </w:r>
    </w:p>
    <w:p>
      <w:pPr>
        <w:pStyle w:val="BodyText"/>
        <w:tabs>
          <w:tab w:val="left" w:pos="3554"/>
        </w:tabs>
        <w:spacing w:before="212"/>
        <w:ind w:left="2685"/>
        <w:rPr>
          <w:rFonts w:ascii="Times New Roman" w:eastAsia="Times New Roman"/>
        </w:rPr>
      </w:pPr>
      <w:r>
        <w:rPr>
          <w:color w:val="231F20"/>
        </w:rPr>
        <w:t>附</w:t>
      </w:r>
      <w:r>
        <w:rPr>
          <w:color w:val="231F20"/>
          <w:spacing w:val="30"/>
        </w:rPr>
        <w:t>录</w:t>
      </w:r>
      <w:r>
        <w:rPr>
          <w:rFonts w:ascii="Times New Roman" w:eastAsia="Times New Roman"/>
          <w:color w:val="231F20"/>
        </w:rPr>
        <w:t>2</w:t>
        <w:tab/>
      </w:r>
      <w:r>
        <w:rPr>
          <w:color w:val="231F20"/>
        </w:rPr>
        <w:t>教学与评价案例／</w:t>
      </w:r>
      <w:r>
        <w:rPr>
          <w:color w:val="231F20"/>
          <w:spacing w:val="-60"/>
        </w:rPr>
        <w:t xml:space="preserve"> </w:t>
      </w:r>
      <w:r>
        <w:rPr>
          <w:rFonts w:ascii="Times New Roman" w:eastAsia="Times New Roman"/>
          <w:color w:val="231F20"/>
        </w:rPr>
        <w:t>77</w:t>
      </w:r>
    </w:p>
    <w:p>
      <w:pPr>
        <w:spacing w:after="0"/>
        <w:rPr>
          <w:rFonts w:ascii="Times New Roman" w:eastAsia="Times New Roman"/>
        </w:rPr>
        <w:sectPr>
          <w:headerReference w:type="default" r:id="rId17"/>
          <w:footerReference w:type="even" r:id="rId18"/>
          <w:footerReference w:type="default" r:id="rId19"/>
          <w:pgSz w:w="10780" w:h="15090"/>
          <w:pgMar w:top="940" w:right="1460" w:bottom="1400" w:left="1480" w:header="0" w:footer="1217"/>
          <w:pgNumType w:start="3"/>
          <w:cols w:space="708"/>
        </w:sectPr>
      </w:pPr>
    </w:p>
    <w:p>
      <w:pPr>
        <w:pStyle w:val="BodyText"/>
        <w:rPr>
          <w:rFonts w:ascii="Times New Roman"/>
          <w:sz w:val="56"/>
        </w:rPr>
      </w:pPr>
    </w:p>
    <w:p>
      <w:pPr>
        <w:pStyle w:val="BodyText"/>
        <w:spacing w:before="3"/>
        <w:rPr>
          <w:rFonts w:ascii="Times New Roman"/>
          <w:sz w:val="77"/>
        </w:rPr>
      </w:pPr>
    </w:p>
    <w:p>
      <w:pPr>
        <w:pStyle w:val="Heading1"/>
        <w:spacing w:before="0"/>
      </w:pPr>
      <w:bookmarkStart w:id="0" w:name="_TOC_250002"/>
      <w:bookmarkEnd w:id="0"/>
      <w:r>
        <w:rPr>
          <w:color w:val="231F20"/>
        </w:rPr>
        <w:t>一、课程性质与基本理念</w:t>
      </w:r>
    </w:p>
    <w:p>
      <w:pPr>
        <w:pStyle w:val="BodyText"/>
        <w:rPr>
          <w:sz w:val="56"/>
        </w:rPr>
      </w:pPr>
    </w:p>
    <w:p>
      <w:pPr>
        <w:pStyle w:val="BodyText"/>
        <w:rPr>
          <w:sz w:val="56"/>
        </w:rPr>
      </w:pPr>
    </w:p>
    <w:p>
      <w:pPr>
        <w:pStyle w:val="BodyText"/>
        <w:spacing w:before="4"/>
        <w:rPr>
          <w:sz w:val="62"/>
        </w:rPr>
      </w:pPr>
    </w:p>
    <w:p>
      <w:pPr>
        <w:pStyle w:val="Heading2"/>
      </w:pPr>
      <w:r>
        <w:rPr>
          <w:color w:val="231F20"/>
        </w:rPr>
        <w:t>（一）课程性质</w:t>
      </w:r>
    </w:p>
    <w:p>
      <w:pPr>
        <w:pStyle w:val="BodyText"/>
        <w:spacing w:before="2"/>
        <w:rPr>
          <w:sz w:val="39"/>
        </w:rPr>
      </w:pPr>
    </w:p>
    <w:p>
      <w:pPr>
        <w:pStyle w:val="BodyText"/>
        <w:spacing w:line="328" w:lineRule="auto"/>
        <w:ind w:left="390" w:right="238" w:firstLine="480"/>
        <w:jc w:val="both"/>
      </w:pPr>
      <w:r>
        <w:rPr>
          <w:color w:val="231F20"/>
          <w:spacing w:val="-1"/>
        </w:rPr>
        <w:t>生物学是自然科学中的一门基础学科，是研究生命现象和生命活动规律的科学。它是农业科学、医药科学、环境科学及其他有关科学和技术的基础。生物学的研究经历了从现象到本质、从定性到定量的发展过程。当今，它在微观和宏观两个方向的发展都非常迅速，并且与信息技术和工程技术的结合日益紧密，正在对社会、经济和人类生</w:t>
      </w:r>
      <w:r>
        <w:rPr>
          <w:color w:val="231F20"/>
        </w:rPr>
        <w:t>活产生越来越大的影响。</w:t>
      </w:r>
    </w:p>
    <w:p>
      <w:pPr>
        <w:pStyle w:val="BodyText"/>
        <w:spacing w:line="328" w:lineRule="auto"/>
        <w:ind w:left="390" w:right="238" w:firstLine="480"/>
        <w:jc w:val="both"/>
      </w:pPr>
      <w:r>
        <w:rPr>
          <w:color w:val="231F20"/>
        </w:rPr>
        <w:t>生物学有着与其他自然科学相同的性质。它不仅是一个结论丰富的知识体系，也包括了人类认识自然现象和规律的一些特有的思维方式和探究过程。生物学的发展需要许多人的共同努力和不断探索。生物学的学科属性是生物学课程性质的重要决定因素。</w:t>
      </w:r>
    </w:p>
    <w:p>
      <w:pPr>
        <w:pStyle w:val="BodyText"/>
        <w:spacing w:line="328" w:lineRule="auto"/>
        <w:ind w:left="390" w:right="232" w:firstLine="480"/>
        <w:jc w:val="both"/>
      </w:pPr>
      <w:r>
        <w:rPr>
          <w:color w:val="231F20"/>
        </w:rPr>
        <w:t>高中生物学课程（以下简称“本课程”）是科学领域的重要学科课程之一，是义务教育阶段相关课程的延续和拓展，其精要是展示生物学的基本内容，反映自然科学的本质。它既要让学生获得基础的生物学知识，又要让学生领悟生物学家在研究过程中所持有的观点以及解决问题的思路和方法。生物学课程要求学生主动地参与学习，在亲历提出问题、获取信息、寻找证据、检验假设、发现规律等过程中习</w:t>
      </w:r>
    </w:p>
    <w:p>
      <w:pPr>
        <w:spacing w:after="0" w:line="328" w:lineRule="auto"/>
        <w:jc w:val="both"/>
        <w:sectPr>
          <w:headerReference w:type="even" r:id="rId20"/>
          <w:pgSz w:w="10780" w:h="15090"/>
          <w:pgMar w:top="1420" w:right="1460" w:bottom="1400" w:left="1480" w:header="0" w:footer="1217"/>
          <w:cols w:space="708"/>
        </w:sectPr>
      </w:pPr>
    </w:p>
    <w:p>
      <w:pPr>
        <w:pStyle w:val="BodyText"/>
        <w:spacing w:before="59"/>
        <w:ind w:left="220"/>
      </w:pPr>
      <w:r>
        <w:rPr>
          <w:color w:val="231F20"/>
        </w:rPr>
        <w:t>普通高中生物学课程标准（2017年版2020年修订）</w:t>
      </w:r>
    </w:p>
    <w:p>
      <w:pPr>
        <w:pStyle w:val="BodyText"/>
        <w:spacing w:before="7"/>
        <w:rPr>
          <w:sz w:val="35"/>
        </w:rPr>
      </w:pPr>
    </w:p>
    <w:p>
      <w:pPr>
        <w:pStyle w:val="BodyText"/>
        <w:spacing w:line="328" w:lineRule="auto"/>
        <w:ind w:left="220" w:right="408"/>
        <w:jc w:val="both"/>
      </w:pPr>
      <w:r>
        <w:rPr>
          <w:color w:val="231F20"/>
        </w:rPr>
        <w:t>得生物学知识，养成科学思维的习惯，形成积极的科学态度，发展终身学习及创新实践能力。学习生物学课程是每个公民不可或缺的教育经历，其学习成果是公民素养的基本组成。本课程是以提高学生生物学学科核心素养为宗旨的学科课程，是树立社会主义核心价值观、落实立德树人根本任务的重要载体。</w:t>
      </w:r>
    </w:p>
    <w:p>
      <w:pPr>
        <w:pStyle w:val="BodyText"/>
        <w:rPr>
          <w:sz w:val="26"/>
        </w:rPr>
      </w:pPr>
    </w:p>
    <w:p>
      <w:pPr>
        <w:pStyle w:val="BodyText"/>
        <w:spacing w:before="8"/>
        <w:rPr>
          <w:sz w:val="27"/>
        </w:rPr>
      </w:pPr>
    </w:p>
    <w:p>
      <w:pPr>
        <w:pStyle w:val="Heading2"/>
        <w:ind w:left="540"/>
      </w:pPr>
      <w:r>
        <w:rPr>
          <w:color w:val="231F20"/>
        </w:rPr>
        <w:t>（二）基本理念</w:t>
      </w:r>
    </w:p>
    <w:p>
      <w:pPr>
        <w:pStyle w:val="BodyText"/>
        <w:spacing w:before="12"/>
        <w:rPr>
          <w:sz w:val="36"/>
        </w:rPr>
      </w:pPr>
    </w:p>
    <w:p>
      <w:pPr>
        <w:pStyle w:val="ListParagraph"/>
        <w:numPr>
          <w:ilvl w:val="0"/>
          <w:numId w:val="39"/>
        </w:numPr>
        <w:tabs>
          <w:tab w:val="left" w:pos="1021"/>
        </w:tabs>
        <w:spacing w:before="0" w:after="0" w:line="240" w:lineRule="auto"/>
        <w:ind w:left="1020" w:right="0" w:hanging="321"/>
        <w:jc w:val="left"/>
        <w:rPr>
          <w:sz w:val="24"/>
        </w:rPr>
      </w:pPr>
      <w:r>
        <w:rPr>
          <w:color w:val="231F20"/>
          <w:sz w:val="24"/>
        </w:rPr>
        <w:t>核心素养为宗旨</w:t>
      </w:r>
    </w:p>
    <w:p>
      <w:pPr>
        <w:pStyle w:val="BodyText"/>
        <w:spacing w:before="198" w:line="328" w:lineRule="auto"/>
        <w:ind w:left="220" w:right="288" w:firstLine="480"/>
      </w:pPr>
      <w:r>
        <w:rPr>
          <w:color w:val="231F20"/>
        </w:rPr>
        <w:t>着眼于学生适应未来社会发展和个人生活的需要，从生命观念、科学思维、科学探究和社会责任等方面发展学生的学科核心素养，充分体现本课程的学科特点和育人价值，是本课程的设计宗旨和实施中的基本要求。</w:t>
      </w:r>
    </w:p>
    <w:p>
      <w:pPr>
        <w:pStyle w:val="BodyText"/>
        <w:spacing w:before="3"/>
        <w:rPr>
          <w:sz w:val="25"/>
        </w:rPr>
      </w:pPr>
    </w:p>
    <w:p>
      <w:pPr>
        <w:pStyle w:val="ListParagraph"/>
        <w:numPr>
          <w:ilvl w:val="0"/>
          <w:numId w:val="39"/>
        </w:numPr>
        <w:tabs>
          <w:tab w:val="left" w:pos="1021"/>
        </w:tabs>
        <w:spacing w:before="0" w:after="0" w:line="240" w:lineRule="auto"/>
        <w:ind w:left="1020" w:right="0" w:hanging="321"/>
        <w:jc w:val="left"/>
        <w:rPr>
          <w:sz w:val="24"/>
        </w:rPr>
      </w:pPr>
      <w:r>
        <w:rPr>
          <w:color w:val="231F20"/>
          <w:sz w:val="24"/>
        </w:rPr>
        <w:t>内容聚焦大概念</w:t>
      </w:r>
    </w:p>
    <w:p>
      <w:pPr>
        <w:pStyle w:val="BodyText"/>
        <w:spacing w:before="197" w:line="328" w:lineRule="auto"/>
        <w:ind w:left="220" w:right="288" w:firstLine="480"/>
      </w:pPr>
      <w:r>
        <w:rPr>
          <w:color w:val="231F20"/>
        </w:rPr>
        <w:t>本课程的设计和实施追求“少而精”的原则，必修和选择性必修课程的模块内容聚焦大概念，精简容量、突出重点、切合年龄特点、明确学习要求</w:t>
      </w:r>
      <w:r>
        <w:rPr>
          <w:rFonts w:ascii="Times New Roman" w:eastAsia="Times New Roman" w:hAnsi="Times New Roman"/>
          <w:color w:val="231F20"/>
        </w:rPr>
        <w:t xml:space="preserve">, </w:t>
      </w:r>
      <w:r>
        <w:rPr>
          <w:color w:val="231F20"/>
        </w:rPr>
        <w:t>确保学生有相对充裕的时间主动学习，让学生能够深刻理解和应用重要的生物学概念，发展生物学学科核心素养。</w:t>
      </w:r>
    </w:p>
    <w:p>
      <w:pPr>
        <w:pStyle w:val="BodyText"/>
        <w:spacing w:before="4"/>
        <w:rPr>
          <w:sz w:val="25"/>
        </w:rPr>
      </w:pPr>
    </w:p>
    <w:p>
      <w:pPr>
        <w:pStyle w:val="ListParagraph"/>
        <w:numPr>
          <w:ilvl w:val="0"/>
          <w:numId w:val="39"/>
        </w:numPr>
        <w:tabs>
          <w:tab w:val="left" w:pos="1021"/>
        </w:tabs>
        <w:spacing w:before="0" w:after="0" w:line="240" w:lineRule="auto"/>
        <w:ind w:left="1020" w:right="0" w:hanging="321"/>
        <w:jc w:val="both"/>
        <w:rPr>
          <w:sz w:val="24"/>
        </w:rPr>
      </w:pPr>
      <w:r>
        <w:rPr>
          <w:color w:val="231F20"/>
          <w:sz w:val="24"/>
        </w:rPr>
        <w:t>教学过程重实践</w:t>
      </w:r>
    </w:p>
    <w:p>
      <w:pPr>
        <w:pStyle w:val="BodyText"/>
        <w:spacing w:before="197" w:line="328" w:lineRule="auto"/>
        <w:ind w:left="220" w:right="408" w:firstLine="480"/>
        <w:jc w:val="both"/>
      </w:pPr>
      <w:r>
        <w:rPr>
          <w:color w:val="231F20"/>
        </w:rPr>
        <w:t>本课程高度关注学生学习过程中的实践经历，强调学生学习的过程是主动参与的过程，让学生积极参与动手和动脑的活动，通过探究性学习活动或完成工程学任务，加深对生物学概念的理解，提升应用知识的能力，培养创新精神，进而能用科学的观点、知识、思路和方法，探讨或解决现实生活中的某些问题。</w:t>
      </w:r>
    </w:p>
    <w:p>
      <w:pPr>
        <w:spacing w:after="0" w:line="328" w:lineRule="auto"/>
        <w:jc w:val="both"/>
        <w:sectPr>
          <w:headerReference w:type="even" r:id="rId21"/>
          <w:footerReference w:type="even" r:id="rId22"/>
          <w:footerReference w:type="default" r:id="rId23"/>
          <w:pgSz w:w="10780" w:h="15090"/>
          <w:pgMar w:top="900" w:right="1460" w:bottom="1400" w:left="1480" w:header="0" w:footer="1217"/>
          <w:pgNumType w:start="2"/>
          <w:cols w:space="708"/>
        </w:sectPr>
      </w:pPr>
    </w:p>
    <w:p>
      <w:pPr>
        <w:spacing w:before="79"/>
        <w:ind w:left="4890" w:right="0" w:firstLine="0"/>
        <w:jc w:val="left"/>
        <w:rPr>
          <w:sz w:val="20"/>
        </w:rPr>
      </w:pPr>
      <w:r>
        <w:rPr>
          <w:color w:val="231F20"/>
          <w:sz w:val="20"/>
        </w:rPr>
        <w:t>│ 一、课程性质与基本理念 │</w:t>
      </w:r>
    </w:p>
    <w:p>
      <w:pPr>
        <w:pStyle w:val="BodyText"/>
        <w:spacing w:before="11"/>
        <w:rPr>
          <w:sz w:val="34"/>
        </w:rPr>
      </w:pPr>
    </w:p>
    <w:p>
      <w:pPr>
        <w:pStyle w:val="ListParagraph"/>
        <w:numPr>
          <w:ilvl w:val="0"/>
          <w:numId w:val="39"/>
        </w:numPr>
        <w:tabs>
          <w:tab w:val="left" w:pos="1192"/>
        </w:tabs>
        <w:spacing w:before="0" w:after="0" w:line="240" w:lineRule="auto"/>
        <w:ind w:left="1191" w:right="0" w:hanging="322"/>
        <w:jc w:val="left"/>
        <w:rPr>
          <w:sz w:val="24"/>
        </w:rPr>
      </w:pPr>
      <w:r>
        <w:rPr>
          <w:color w:val="231F20"/>
          <w:sz w:val="24"/>
        </w:rPr>
        <w:t>学业评价促发展</w:t>
      </w:r>
    </w:p>
    <w:p>
      <w:pPr>
        <w:pStyle w:val="BodyText"/>
        <w:spacing w:before="197" w:line="328" w:lineRule="auto"/>
        <w:ind w:left="390" w:right="117" w:firstLine="480"/>
      </w:pPr>
      <w:r>
        <w:rPr>
          <w:color w:val="231F20"/>
        </w:rPr>
        <w:t>本课程重视以评价促进学生的学习与发展，重视评价的诊断作用、激励作用和促进作用。致力于创建一个主体多元、方法多样、既关注学业成就又重视个体进步和多方面发展的生物学课程评价体系。提倡在评价中关注学生的个体差异和发展需求，帮助学生认识自我、建立自信，改进学习方式，促进生物学学科核心素养的形成。</w:t>
      </w:r>
    </w:p>
    <w:p>
      <w:pPr>
        <w:spacing w:after="0" w:line="328" w:lineRule="auto"/>
        <w:sectPr>
          <w:headerReference w:type="even" r:id="rId24"/>
          <w:pgSz w:w="10780" w:h="15090"/>
          <w:pgMar w:top="940" w:right="1460" w:bottom="1400" w:left="1480" w:header="0" w:footer="1217"/>
          <w:cols w:space="70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ind w:left="220"/>
      </w:pPr>
      <w:bookmarkStart w:id="1" w:name="_TOC_250001"/>
      <w:bookmarkEnd w:id="1"/>
      <w:r>
        <w:rPr>
          <w:color w:val="231F20"/>
        </w:rPr>
        <w:t>二、学科核心素养与课程目标</w:t>
      </w:r>
    </w:p>
    <w:p>
      <w:pPr>
        <w:pStyle w:val="BodyText"/>
        <w:rPr>
          <w:sz w:val="56"/>
        </w:rPr>
      </w:pPr>
    </w:p>
    <w:p>
      <w:pPr>
        <w:pStyle w:val="BodyText"/>
        <w:rPr>
          <w:sz w:val="56"/>
        </w:rPr>
      </w:pPr>
    </w:p>
    <w:p>
      <w:pPr>
        <w:pStyle w:val="BodyText"/>
        <w:spacing w:before="4"/>
        <w:rPr>
          <w:sz w:val="62"/>
        </w:rPr>
      </w:pPr>
    </w:p>
    <w:p>
      <w:pPr>
        <w:pStyle w:val="Heading2"/>
        <w:ind w:left="540"/>
      </w:pPr>
      <w:r>
        <w:rPr>
          <w:color w:val="231F20"/>
        </w:rPr>
        <w:t>（一）学科核心素养</w:t>
      </w:r>
    </w:p>
    <w:p>
      <w:pPr>
        <w:pStyle w:val="BodyText"/>
        <w:spacing w:before="2"/>
        <w:rPr>
          <w:sz w:val="39"/>
        </w:rPr>
      </w:pPr>
    </w:p>
    <w:p>
      <w:pPr>
        <w:pStyle w:val="BodyText"/>
        <w:spacing w:line="328" w:lineRule="auto"/>
        <w:ind w:left="220" w:right="408" w:firstLine="480"/>
        <w:jc w:val="both"/>
      </w:pPr>
      <w:r>
        <w:rPr>
          <w:color w:val="231F20"/>
        </w:rPr>
        <w:t>学科核心素养是学科育人价值的集中体现，是学生通过学科学习而逐步形成的正确价值观、必备品格和关键能力。生物学学科核心素养包括生命观念、科学思维、科学探究和社会责任。</w:t>
      </w:r>
    </w:p>
    <w:p>
      <w:pPr>
        <w:pStyle w:val="BodyText"/>
        <w:spacing w:before="5"/>
        <w:rPr>
          <w:sz w:val="25"/>
        </w:rPr>
      </w:pPr>
    </w:p>
    <w:p>
      <w:pPr>
        <w:pStyle w:val="ListParagraph"/>
        <w:numPr>
          <w:ilvl w:val="0"/>
          <w:numId w:val="38"/>
        </w:numPr>
        <w:tabs>
          <w:tab w:val="left" w:pos="1021"/>
        </w:tabs>
        <w:spacing w:before="0" w:after="0" w:line="240" w:lineRule="auto"/>
        <w:ind w:left="1020" w:right="0" w:hanging="321"/>
        <w:jc w:val="left"/>
        <w:rPr>
          <w:sz w:val="24"/>
        </w:rPr>
      </w:pPr>
      <w:r>
        <w:rPr>
          <w:color w:val="231F20"/>
          <w:sz w:val="24"/>
        </w:rPr>
        <w:t>生命观念</w:t>
      </w:r>
    </w:p>
    <w:p>
      <w:pPr>
        <w:pStyle w:val="BodyText"/>
        <w:spacing w:before="197" w:line="328" w:lineRule="auto"/>
        <w:ind w:left="220" w:right="290" w:firstLine="360"/>
      </w:pPr>
      <w:r>
        <w:rPr>
          <w:color w:val="231F20"/>
        </w:rPr>
        <w:t>“生命观念”是指对观察到的生命现象及相互关系或特性进行解释后的抽象，是人们经过实证后的观点，是能够理解或解释生物学相关事件和现象的意识、观念和思想方法。学生应该在较好地理解生物学概念的基础上形成生命观念，如结构与功能观、进化与适应观、稳态与平衡观、物质与能量观等；能够用生命观念认识生物的多样性、统一性、独特性和复杂性，形成科学的自然观和世界观，并以此指导探究生命活动规律，解决实际问题。</w:t>
      </w:r>
    </w:p>
    <w:p>
      <w:pPr>
        <w:pStyle w:val="BodyText"/>
        <w:rPr>
          <w:sz w:val="25"/>
        </w:rPr>
      </w:pPr>
    </w:p>
    <w:p>
      <w:pPr>
        <w:pStyle w:val="ListParagraph"/>
        <w:numPr>
          <w:ilvl w:val="0"/>
          <w:numId w:val="38"/>
        </w:numPr>
        <w:tabs>
          <w:tab w:val="left" w:pos="1021"/>
        </w:tabs>
        <w:spacing w:before="0" w:after="0" w:line="240" w:lineRule="auto"/>
        <w:ind w:left="1020" w:right="0" w:hanging="321"/>
        <w:jc w:val="left"/>
        <w:rPr>
          <w:sz w:val="24"/>
        </w:rPr>
      </w:pPr>
      <w:r>
        <w:rPr>
          <w:color w:val="231F20"/>
          <w:sz w:val="24"/>
        </w:rPr>
        <w:t>科学思维</w:t>
      </w:r>
    </w:p>
    <w:p>
      <w:pPr>
        <w:pStyle w:val="BodyText"/>
        <w:spacing w:before="197" w:line="328" w:lineRule="auto"/>
        <w:ind w:left="220" w:right="288" w:firstLine="360"/>
      </w:pPr>
      <w:r>
        <w:rPr>
          <w:color w:val="231F20"/>
        </w:rPr>
        <w:t>“科学思维”是指尊重事实和证据，崇尚严谨和务实的求知态度， 运用科学的思维方法认识事物、解决实际问题的思维习惯和能力。学</w:t>
      </w:r>
    </w:p>
    <w:p>
      <w:pPr>
        <w:spacing w:after="0" w:line="328" w:lineRule="auto"/>
        <w:sectPr>
          <w:headerReference w:type="even" r:id="rId25"/>
          <w:footerReference w:type="even" r:id="rId26"/>
          <w:footerReference w:type="default" r:id="rId27"/>
          <w:pgSz w:w="10780" w:h="15090"/>
          <w:pgMar w:top="1420" w:right="1460" w:bottom="1400" w:left="1480" w:header="0" w:footer="1217"/>
          <w:pgNumType w:start="4"/>
          <w:cols w:space="708"/>
        </w:sectPr>
      </w:pPr>
    </w:p>
    <w:p>
      <w:pPr>
        <w:spacing w:before="79"/>
        <w:ind w:left="4490" w:right="0" w:firstLine="0"/>
        <w:jc w:val="left"/>
        <w:rPr>
          <w:sz w:val="20"/>
        </w:rPr>
      </w:pPr>
      <w:r>
        <w:rPr>
          <w:color w:val="231F20"/>
          <w:sz w:val="20"/>
        </w:rPr>
        <w:t>│ 二、学科核心素养与课程目标 │</w:t>
      </w:r>
    </w:p>
    <w:p>
      <w:pPr>
        <w:pStyle w:val="BodyText"/>
        <w:spacing w:before="11"/>
        <w:rPr>
          <w:sz w:val="34"/>
        </w:rPr>
      </w:pPr>
    </w:p>
    <w:p>
      <w:pPr>
        <w:pStyle w:val="BodyText"/>
        <w:spacing w:line="328" w:lineRule="auto"/>
        <w:ind w:left="390" w:right="220"/>
        <w:jc w:val="both"/>
      </w:pPr>
      <w:r>
        <w:rPr>
          <w:color w:val="231F20"/>
        </w:rPr>
        <w:t>生应该在学习过程中逐步发展科学思维，如能够基于生物学事实和证据运用归纳与概括、演绎与推理、模型与建模、批判性思维、创造性思维等方法，探讨、阐释生命现象及规律，审视或论证生物学社会议题。</w:t>
      </w:r>
    </w:p>
    <w:p>
      <w:pPr>
        <w:pStyle w:val="BodyText"/>
        <w:spacing w:before="3"/>
        <w:rPr>
          <w:sz w:val="25"/>
        </w:rPr>
      </w:pPr>
    </w:p>
    <w:p>
      <w:pPr>
        <w:pStyle w:val="ListParagraph"/>
        <w:numPr>
          <w:ilvl w:val="0"/>
          <w:numId w:val="38"/>
        </w:numPr>
        <w:tabs>
          <w:tab w:val="left" w:pos="1192"/>
        </w:tabs>
        <w:spacing w:before="0" w:after="0" w:line="240" w:lineRule="auto"/>
        <w:ind w:left="1191" w:right="0" w:hanging="322"/>
        <w:jc w:val="both"/>
        <w:rPr>
          <w:sz w:val="24"/>
        </w:rPr>
      </w:pPr>
      <w:r>
        <w:rPr>
          <w:color w:val="231F20"/>
          <w:sz w:val="24"/>
        </w:rPr>
        <w:t>科学探究</w:t>
      </w:r>
    </w:p>
    <w:p>
      <w:pPr>
        <w:pStyle w:val="BodyText"/>
        <w:spacing w:before="198" w:line="328" w:lineRule="auto"/>
        <w:ind w:left="390" w:right="235" w:firstLine="360"/>
        <w:jc w:val="both"/>
      </w:pPr>
      <w:r>
        <w:rPr>
          <w:color w:val="231F20"/>
        </w:rPr>
        <w:t>“科学探究”是指能够发现现实世界中的生物学问题，针对特定的生物学现象，进行观察、提问、实验设计、方案实施以及对结果的交流与讨论的能力。学生应在探究过程中，逐步增强对自然现象的好奇心和求知欲，掌握科学探究的基本思路和方法，提高实践能力；在探究中，乐于并善于团队合作，勇于创新。</w:t>
      </w:r>
    </w:p>
    <w:p>
      <w:pPr>
        <w:pStyle w:val="BodyText"/>
        <w:spacing w:before="2"/>
        <w:rPr>
          <w:sz w:val="25"/>
        </w:rPr>
      </w:pPr>
    </w:p>
    <w:p>
      <w:pPr>
        <w:pStyle w:val="ListParagraph"/>
        <w:numPr>
          <w:ilvl w:val="0"/>
          <w:numId w:val="38"/>
        </w:numPr>
        <w:tabs>
          <w:tab w:val="left" w:pos="1192"/>
        </w:tabs>
        <w:spacing w:before="0" w:after="0" w:line="240" w:lineRule="auto"/>
        <w:ind w:left="1191" w:right="0" w:hanging="322"/>
        <w:jc w:val="both"/>
        <w:rPr>
          <w:sz w:val="24"/>
        </w:rPr>
      </w:pPr>
      <w:r>
        <w:rPr>
          <w:color w:val="231F20"/>
          <w:sz w:val="24"/>
        </w:rPr>
        <w:t>社会责任</w:t>
      </w:r>
    </w:p>
    <w:p>
      <w:pPr>
        <w:pStyle w:val="BodyText"/>
        <w:spacing w:before="197" w:line="328" w:lineRule="auto"/>
        <w:ind w:left="390" w:right="235" w:firstLine="360"/>
        <w:jc w:val="both"/>
      </w:pPr>
      <w:r>
        <w:rPr>
          <w:color w:val="231F20"/>
        </w:rPr>
        <w:t>“社会责任”是指基于生物学的认识，参与个人与社会事务的讨论，作出理性解释和判断，解决生产生活问题的担当和能力。学生应能够以造福人类的态度和价值观，积极运用生物学的知识和方法，关注社会议题，参与讨论并作出理性解释，辨别迷信和伪科学；结合本地资源开展科学实践，尝试解决现实生活问题；树立和践行“绿水青山就是金山银山”的理念，形成生态意识，参与环境保护实践；主动向他人宣传关爱生命的观念和知识，崇尚健康文明的生活方式，成为健康中国的促进者和实践者。</w:t>
      </w:r>
    </w:p>
    <w:p>
      <w:pPr>
        <w:pStyle w:val="BodyText"/>
        <w:spacing w:line="328" w:lineRule="auto"/>
        <w:ind w:left="390" w:right="118" w:firstLine="480"/>
      </w:pPr>
      <w:r>
        <w:rPr>
          <w:color w:val="231F20"/>
        </w:rPr>
        <w:t>生物学学科核心素养是学生在生物学课程学习过程中逐渐发展起来的，在解决真实情境中的实际问题时所表现出来的价值观、必备品格与关键能力，是学生知识、能力、情感态度与价值观的综合体现。生物学学科核心素养的培养应贯穿于教材编写、课堂教学及考试评价中。</w:t>
      </w:r>
    </w:p>
    <w:p>
      <w:pPr>
        <w:spacing w:after="0" w:line="328" w:lineRule="auto"/>
        <w:sectPr>
          <w:headerReference w:type="even" r:id="rId28"/>
          <w:pgSz w:w="10780" w:h="15090"/>
          <w:pgMar w:top="940" w:right="1460" w:bottom="1400" w:left="1480" w:header="0" w:footer="1217"/>
          <w:cols w:space="708"/>
        </w:sectPr>
      </w:pPr>
    </w:p>
    <w:p>
      <w:pPr>
        <w:pStyle w:val="BodyText"/>
        <w:spacing w:before="8"/>
        <w:rPr>
          <w:sz w:val="29"/>
        </w:rPr>
      </w:pPr>
    </w:p>
    <w:p>
      <w:pPr>
        <w:pStyle w:val="Heading2"/>
        <w:spacing w:before="70"/>
        <w:ind w:left="540"/>
      </w:pPr>
      <w:r>
        <w:rPr>
          <w:color w:val="231F20"/>
        </w:rPr>
        <w:t>（二）课程目标</w:t>
      </w:r>
    </w:p>
    <w:p>
      <w:pPr>
        <w:pStyle w:val="BodyText"/>
        <w:spacing w:before="2"/>
        <w:rPr>
          <w:sz w:val="39"/>
        </w:rPr>
      </w:pPr>
    </w:p>
    <w:p>
      <w:pPr>
        <w:pStyle w:val="BodyText"/>
        <w:spacing w:line="328" w:lineRule="auto"/>
        <w:ind w:left="220" w:right="399" w:firstLine="480"/>
        <w:jc w:val="both"/>
      </w:pPr>
      <w:r>
        <w:rPr>
          <w:color w:val="231F20"/>
        </w:rPr>
        <w:t>学生通过本课程的学习，能认识到生物学在坚持人与自然和谐共</w:t>
      </w:r>
      <w:r>
        <w:rPr>
          <w:color w:val="231F20"/>
          <w:spacing w:val="4"/>
        </w:rPr>
        <w:t>处、促进科技发展、社会进步和提高人类生活质量等方面的重要贡</w:t>
      </w:r>
      <w:r>
        <w:rPr>
          <w:color w:val="231F20"/>
          <w:spacing w:val="5"/>
        </w:rPr>
        <w:t>献；树立生命观念，能够运用这些观念认识生命现象，探索生命规</w:t>
      </w:r>
      <w:r>
        <w:rPr>
          <w:color w:val="231F20"/>
        </w:rPr>
        <w:t>律；形成科学思维的习惯，能够运用已有的生物学知识、证据和逻辑对生物学议题进行思考或展开论证；掌握科学探究的思路和方法，形成合作精神，善于从实践的层面探讨或尝试解决现实生活问题；具有</w:t>
      </w:r>
      <w:r>
        <w:rPr>
          <w:color w:val="231F20"/>
          <w:spacing w:val="7"/>
        </w:rPr>
        <w:t>开展生物学实践活动的意愿和社会责任感，在面对现实世界的挑战</w:t>
      </w:r>
      <w:r>
        <w:rPr>
          <w:color w:val="231F20"/>
        </w:rPr>
        <w:t>时，能充分利用生物学知识主动宣传引导，愿意承担抵制毒品和不良</w:t>
      </w:r>
      <w:r>
        <w:rPr>
          <w:color w:val="231F20"/>
          <w:spacing w:val="-12"/>
        </w:rPr>
        <w:t>生活习惯等社会责任，为继续学习和走向社会打下认识和实践的基础。</w:t>
      </w:r>
    </w:p>
    <w:p>
      <w:pPr>
        <w:spacing w:after="0" w:line="328" w:lineRule="auto"/>
        <w:jc w:val="both"/>
        <w:sectPr>
          <w:headerReference w:type="even" r:id="rId29"/>
          <w:footerReference w:type="even" r:id="rId30"/>
          <w:footerReference w:type="default" r:id="rId31"/>
          <w:pgSz w:w="10780" w:h="15090"/>
          <w:pgMar w:top="1260" w:right="1460" w:bottom="1400" w:left="1480" w:header="989" w:footer="1217"/>
          <w:pgNumType w:start="6"/>
          <w:cols w:space="70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pPr>
      <w:bookmarkStart w:id="2" w:name="_TOC_250000"/>
      <w:bookmarkEnd w:id="2"/>
      <w:r>
        <w:rPr>
          <w:color w:val="231F20"/>
        </w:rPr>
        <w:t>三、课程结构</w:t>
      </w:r>
    </w:p>
    <w:p>
      <w:pPr>
        <w:pStyle w:val="BodyText"/>
        <w:rPr>
          <w:sz w:val="56"/>
        </w:rPr>
      </w:pPr>
    </w:p>
    <w:p>
      <w:pPr>
        <w:pStyle w:val="BodyText"/>
        <w:rPr>
          <w:sz w:val="56"/>
        </w:rPr>
      </w:pPr>
    </w:p>
    <w:p>
      <w:pPr>
        <w:pStyle w:val="BodyText"/>
        <w:spacing w:before="4"/>
        <w:rPr>
          <w:sz w:val="62"/>
        </w:rPr>
      </w:pPr>
    </w:p>
    <w:p>
      <w:pPr>
        <w:pStyle w:val="Heading2"/>
      </w:pPr>
      <w:r>
        <w:rPr>
          <w:color w:val="231F20"/>
        </w:rPr>
        <w:t>（一）设计依据</w:t>
      </w:r>
    </w:p>
    <w:p>
      <w:pPr>
        <w:pStyle w:val="BodyText"/>
        <w:rPr>
          <w:sz w:val="20"/>
        </w:rPr>
      </w:pPr>
    </w:p>
    <w:p>
      <w:pPr>
        <w:pStyle w:val="ListParagraph"/>
        <w:numPr>
          <w:ilvl w:val="0"/>
          <w:numId w:val="37"/>
        </w:numPr>
        <w:tabs>
          <w:tab w:val="left" w:pos="1198"/>
        </w:tabs>
        <w:spacing w:before="217" w:after="0" w:line="240" w:lineRule="auto"/>
        <w:ind w:left="1197" w:right="0" w:hanging="328"/>
        <w:jc w:val="left"/>
        <w:rPr>
          <w:sz w:val="24"/>
        </w:rPr>
      </w:pPr>
      <w:r>
        <w:rPr>
          <w:color w:val="231F20"/>
          <w:spacing w:val="-5"/>
          <w:sz w:val="24"/>
        </w:rPr>
        <w:t>依据普通高中课程方案设置生物学必修、选择性必修和选修课</w:t>
      </w:r>
    </w:p>
    <w:p>
      <w:pPr>
        <w:pStyle w:val="BodyText"/>
        <w:spacing w:before="113"/>
        <w:ind w:left="390"/>
      </w:pPr>
      <w:r>
        <w:rPr>
          <w:color w:val="231F20"/>
        </w:rPr>
        <w:t>程</w:t>
      </w:r>
    </w:p>
    <w:p>
      <w:pPr>
        <w:pStyle w:val="BodyText"/>
        <w:spacing w:before="197"/>
        <w:ind w:left="870"/>
      </w:pPr>
      <w:r>
        <w:rPr>
          <w:color w:val="231F20"/>
        </w:rPr>
        <w:t>普通高中课程方案规定高中生物学课程开设必修、选择性必修和</w:t>
      </w:r>
    </w:p>
    <w:p>
      <w:pPr>
        <w:pStyle w:val="BodyText"/>
        <w:spacing w:before="113" w:line="328" w:lineRule="auto"/>
        <w:ind w:left="390" w:right="238"/>
        <w:jc w:val="both"/>
      </w:pPr>
      <w:r>
        <w:rPr>
          <w:color w:val="231F20"/>
        </w:rPr>
        <w:t>选修课程。生物学必修课程是全体高中学生必须学习的课程，是高中学生生物学学科核心素养发展的共同基础；选择性必修课程是学生根据个人需求与升学考试要求选择学习的课程；选修课程是学生自主选择学习的课程。</w:t>
      </w:r>
    </w:p>
    <w:p>
      <w:pPr>
        <w:pStyle w:val="BodyText"/>
        <w:spacing w:before="3"/>
        <w:rPr>
          <w:sz w:val="25"/>
        </w:rPr>
      </w:pPr>
    </w:p>
    <w:p>
      <w:pPr>
        <w:pStyle w:val="ListParagraph"/>
        <w:numPr>
          <w:ilvl w:val="0"/>
          <w:numId w:val="37"/>
        </w:numPr>
        <w:tabs>
          <w:tab w:val="left" w:pos="1192"/>
        </w:tabs>
        <w:spacing w:before="0" w:after="0" w:line="240" w:lineRule="auto"/>
        <w:ind w:left="1191" w:right="0" w:hanging="322"/>
        <w:jc w:val="both"/>
        <w:rPr>
          <w:sz w:val="24"/>
        </w:rPr>
      </w:pPr>
      <w:r>
        <w:rPr>
          <w:color w:val="231F20"/>
          <w:sz w:val="24"/>
        </w:rPr>
        <w:t>以发展学生生物学学科核心素养为宗旨，构建课程内容</w:t>
      </w:r>
    </w:p>
    <w:p>
      <w:pPr>
        <w:pStyle w:val="BodyText"/>
        <w:spacing w:before="198" w:line="328" w:lineRule="auto"/>
        <w:ind w:left="390" w:right="235" w:firstLine="480"/>
        <w:jc w:val="both"/>
      </w:pPr>
      <w:r>
        <w:rPr>
          <w:color w:val="231F20"/>
          <w:spacing w:val="-1"/>
        </w:rPr>
        <w:t>课程内容是发展学生生物学学科核心素养的重要载体，是在本课</w:t>
      </w:r>
      <w:r>
        <w:rPr>
          <w:color w:val="231F20"/>
          <w:spacing w:val="-3"/>
        </w:rPr>
        <w:t>程中落实立德树人根本任务的抓手。基于学生在“生命观念”“科学</w:t>
      </w:r>
      <w:r>
        <w:rPr>
          <w:color w:val="231F20"/>
          <w:spacing w:val="-12"/>
        </w:rPr>
        <w:t>思维”“科学探究”和“社会责任”等方面应有的表现，精选必修、选</w:t>
      </w:r>
      <w:r>
        <w:rPr>
          <w:color w:val="231F20"/>
          <w:spacing w:val="-10"/>
        </w:rPr>
        <w:t>择性必修和选修的课程内容，设计各模块的教学目标及学业要求，以全</w:t>
      </w:r>
      <w:r>
        <w:rPr>
          <w:color w:val="231F20"/>
          <w:spacing w:val="-12"/>
        </w:rPr>
        <w:t>面落实生物学课程的育人功能。</w:t>
      </w:r>
    </w:p>
    <w:p>
      <w:pPr>
        <w:spacing w:after="0" w:line="328" w:lineRule="auto"/>
        <w:jc w:val="both"/>
        <w:sectPr>
          <w:headerReference w:type="even" r:id="rId32"/>
          <w:pgSz w:w="10780" w:h="15090"/>
          <w:pgMar w:top="1420" w:right="1460" w:bottom="1400" w:left="1480" w:header="0" w:footer="1217"/>
          <w:cols w:space="708"/>
        </w:sectPr>
      </w:pPr>
    </w:p>
    <w:p>
      <w:pPr>
        <w:pStyle w:val="BodyText"/>
        <w:spacing w:before="10"/>
        <w:rPr>
          <w:sz w:val="29"/>
        </w:rPr>
      </w:pPr>
    </w:p>
    <w:p>
      <w:pPr>
        <w:pStyle w:val="ListParagraph"/>
        <w:numPr>
          <w:ilvl w:val="0"/>
          <w:numId w:val="37"/>
        </w:numPr>
        <w:tabs>
          <w:tab w:val="left" w:pos="1028"/>
        </w:tabs>
        <w:spacing w:before="78" w:after="0" w:line="328" w:lineRule="auto"/>
        <w:ind w:left="220" w:right="400" w:firstLine="480"/>
        <w:jc w:val="both"/>
        <w:rPr>
          <w:sz w:val="24"/>
        </w:rPr>
      </w:pPr>
      <w:r>
        <w:rPr>
          <w:color w:val="231F20"/>
          <w:spacing w:val="5"/>
          <w:sz w:val="24"/>
        </w:rPr>
        <w:t>充分吸纳科学教育研究成果和生物学教改经验，提高课程可</w:t>
      </w:r>
      <w:r>
        <w:rPr>
          <w:color w:val="231F20"/>
          <w:sz w:val="24"/>
        </w:rPr>
        <w:t>操作性</w:t>
      </w:r>
    </w:p>
    <w:p>
      <w:pPr>
        <w:pStyle w:val="BodyText"/>
        <w:spacing w:before="82" w:line="328" w:lineRule="auto"/>
        <w:ind w:left="220" w:right="400" w:firstLine="480"/>
        <w:jc w:val="both"/>
      </w:pPr>
      <w:r>
        <w:rPr>
          <w:color w:val="231F20"/>
        </w:rPr>
        <w:t>以国内外科学教育的众多研究成果和我国十余年来高中生物学课程改革取得的经验和成就为依据，设计操作性强的课程。例如，根据生物学的大概念来构建课程体系和内容框架；选取更加符合高中学生认知特点的学习内容和任务；在必修课程的安排和选择性必修课程的设计上，保持了与课程标准实验稿的衔接，使得教师可以在实施教学任务时，最大程度地利用自</w:t>
      </w:r>
      <w:r>
        <w:rPr>
          <w:rFonts w:ascii="Times New Roman" w:eastAsia="Times New Roman"/>
          <w:color w:val="231F20"/>
        </w:rPr>
        <w:t xml:space="preserve">2003 </w:t>
      </w:r>
      <w:r>
        <w:rPr>
          <w:color w:val="231F20"/>
        </w:rPr>
        <w:t>年颁布《普通高中生物课程标准</w:t>
      </w:r>
    </w:p>
    <w:p>
      <w:pPr>
        <w:pStyle w:val="BodyText"/>
        <w:spacing w:line="328" w:lineRule="auto"/>
        <w:ind w:left="220" w:right="408" w:hanging="120"/>
      </w:pPr>
      <w:r>
        <w:rPr>
          <w:color w:val="231F20"/>
        </w:rPr>
        <w:t>（实验</w:t>
      </w:r>
      <w:r>
        <w:rPr>
          <w:color w:val="231F20"/>
          <w:spacing w:val="-120"/>
        </w:rPr>
        <w:t>）</w:t>
      </w:r>
      <w:r>
        <w:rPr>
          <w:color w:val="231F20"/>
          <w:spacing w:val="-1"/>
        </w:rPr>
        <w:t>》以来所获得的教改经验，以及实验室建设取得的成果，持续</w:t>
      </w:r>
      <w:r>
        <w:rPr>
          <w:color w:val="231F20"/>
        </w:rPr>
        <w:t>地推进教学改革。</w:t>
      </w:r>
    </w:p>
    <w:p>
      <w:pPr>
        <w:pStyle w:val="BodyText"/>
        <w:spacing w:before="11"/>
      </w:pPr>
    </w:p>
    <w:p>
      <w:pPr>
        <w:pStyle w:val="ListParagraph"/>
        <w:numPr>
          <w:ilvl w:val="0"/>
          <w:numId w:val="37"/>
        </w:numPr>
        <w:tabs>
          <w:tab w:val="left" w:pos="1021"/>
        </w:tabs>
        <w:spacing w:before="0" w:after="0" w:line="240" w:lineRule="auto"/>
        <w:ind w:left="1020" w:right="0" w:hanging="321"/>
        <w:jc w:val="both"/>
        <w:rPr>
          <w:sz w:val="24"/>
        </w:rPr>
      </w:pPr>
      <w:r>
        <w:rPr>
          <w:color w:val="231F20"/>
          <w:sz w:val="24"/>
        </w:rPr>
        <w:t>满足学生多元需求，突出课程基础性和选择性</w:t>
      </w:r>
    </w:p>
    <w:p>
      <w:pPr>
        <w:pStyle w:val="BodyText"/>
        <w:spacing w:before="197" w:line="328" w:lineRule="auto"/>
        <w:ind w:left="220" w:right="408" w:firstLine="480"/>
        <w:jc w:val="both"/>
      </w:pPr>
      <w:r>
        <w:rPr>
          <w:color w:val="231F20"/>
        </w:rPr>
        <w:t>关注学生的共同基础和多元发展需求，设置了必修课程、选择性必修课程和选修课程。必修课程选择的是现代生物学的核心内容，与社会和个人生活关系密切，是后续学习发展所必需的基础，对于提高全体高中学生的生物学学科核心素养具有不可或缺的作用。选择性必修课程所选的内容是学生未来职业与专业发展的基础，有助于学生进一步加深对生物学大概念的理解，拓展生物科学与技术视野，提高实践和探究能力。选修课程包括为学有余力的学生设计的拓展课程以及针对本校学生特点和当地资源开设的校本课程，旨在满足学生多样化兴趣和发展需要，以期为学生进一步学习和职业规划奠定基础。</w:t>
      </w:r>
    </w:p>
    <w:p>
      <w:pPr>
        <w:pStyle w:val="BodyText"/>
        <w:spacing w:before="1"/>
        <w:rPr>
          <w:sz w:val="36"/>
        </w:rPr>
      </w:pPr>
    </w:p>
    <w:p>
      <w:pPr>
        <w:pStyle w:val="Heading2"/>
        <w:spacing w:before="1"/>
        <w:ind w:left="540"/>
      </w:pPr>
      <w:r>
        <w:rPr>
          <w:color w:val="231F20"/>
        </w:rPr>
        <w:t>（二）结构</w:t>
      </w:r>
    </w:p>
    <w:p>
      <w:pPr>
        <w:pStyle w:val="BodyText"/>
        <w:spacing w:before="1"/>
        <w:rPr>
          <w:sz w:val="39"/>
        </w:rPr>
      </w:pPr>
    </w:p>
    <w:p>
      <w:pPr>
        <w:pStyle w:val="BodyText"/>
        <w:spacing w:before="1" w:line="328" w:lineRule="auto"/>
        <w:ind w:left="100" w:right="394" w:firstLine="600"/>
        <w:jc w:val="both"/>
      </w:pPr>
      <w:r>
        <w:rPr>
          <w:color w:val="231F20"/>
        </w:rPr>
        <w:t>下页图</w:t>
      </w:r>
      <w:r>
        <w:rPr>
          <w:rFonts w:ascii="Times New Roman" w:eastAsia="Times New Roman" w:hAnsi="Times New Roman"/>
          <w:color w:val="231F20"/>
        </w:rPr>
        <w:t xml:space="preserve">1 </w:t>
      </w:r>
      <w:r>
        <w:rPr>
          <w:color w:val="231F20"/>
        </w:rPr>
        <w:t>展示了高中生物学课程结构。高中生物学课程分为必修、选择性必修和选修三个部分。必修部分包括“分子与细胞”和“遗传与进化”两个模块；选择性必修部分有“稳态与调节”“生物</w:t>
      </w:r>
    </w:p>
    <w:p>
      <w:pPr>
        <w:spacing w:after="0" w:line="328" w:lineRule="auto"/>
        <w:jc w:val="both"/>
        <w:sectPr>
          <w:headerReference w:type="even" r:id="rId33"/>
          <w:footerReference w:type="even" r:id="rId34"/>
          <w:footerReference w:type="default" r:id="rId35"/>
          <w:pgSz w:w="10780" w:h="15090"/>
          <w:pgMar w:top="1260" w:right="1460" w:bottom="1400" w:left="1480" w:header="989" w:footer="1217"/>
          <w:pgNumType w:start="8"/>
          <w:cols w:space="708"/>
        </w:sectPr>
      </w:pPr>
    </w:p>
    <w:p>
      <w:pPr>
        <w:spacing w:before="79"/>
        <w:ind w:left="0" w:right="139" w:firstLine="0"/>
        <w:jc w:val="right"/>
        <w:rPr>
          <w:sz w:val="20"/>
        </w:rPr>
      </w:pPr>
      <w:r>
        <w:rPr>
          <w:color w:val="231F20"/>
          <w:sz w:val="20"/>
        </w:rPr>
        <w:t>│ 三、课程结构 │</w:t>
      </w:r>
    </w:p>
    <w:p>
      <w:pPr>
        <w:pStyle w:val="BodyText"/>
        <w:spacing w:before="11"/>
        <w:rPr>
          <w:sz w:val="34"/>
        </w:rPr>
      </w:pPr>
    </w:p>
    <w:p>
      <w:pPr>
        <w:pStyle w:val="BodyText"/>
        <w:spacing w:line="328" w:lineRule="auto"/>
        <w:ind w:left="390" w:right="116"/>
      </w:pPr>
      <w:r>
        <w:pict>
          <v:group id="_x0000_s1027" style="width:337.25pt;height:306.45pt;margin-top:43.76pt;margin-left:104.94pt;mso-position-horizontal-relative:page;position:absolute;z-index:-251653120" coordorigin="2099,875" coordsize="6745,6129">
            <v:line id="_x0000_s1028" style="position:absolute" from="3853,928" to="3853,1910" stroked="t" strokecolor="#231f20" strokeweight="0.66pt">
              <v:stroke dashstyle="solid"/>
            </v:line>
            <v:line id="_x0000_s1029" style="position:absolute" from="3900,1943" to="6743,1943" stroked="t" strokecolor="#231f20" strokeweight="0.66pt">
              <v:stroke dashstyle="solid"/>
            </v:line>
            <v:line id="_x0000_s1030" style="position:absolute" from="6776,1897" to="6776,915" stroked="t" strokecolor="#231f20" strokeweight="0.66pt">
              <v:stroke dashstyle="solid"/>
            </v:line>
            <v:line id="_x0000_s1031" style="position:absolute" from="6729,882" to="3887,882" stroked="t" strokecolor="#231f20" strokeweight="0.66pt">
              <v:stroke dashstyle="solid"/>
            </v:line>
            <v:shape id="_x0000_s1032" style="width:2923;height:1062;position:absolute;top:12316" coordorigin="0,12316" coordsize="2923,1062" path="m3853,1924l3853,1943,3873,1943m6756,1943l6776,1943,6776,1924m6776,902l6776,882,6756,882m3873,882l3853,882,3853,902e" filled="f" stroked="t" strokecolor="#231f20" strokeweight="0.66pt">
              <v:stroke dashstyle="solid"/>
              <v:path arrowok="t"/>
            </v:shape>
            <v:line id="_x0000_s1033" style="position:absolute" from="5297,1930" to="5297,2097" stroked="t" strokecolor="#231f20" strokeweight="0.66pt">
              <v:stroke dashstyle="solid"/>
            </v:line>
            <v:shape id="_x0000_s1034" style="width:96;height:131;left:5249;position:absolute;top:2065" coordorigin="5249,2065" coordsize="96,131" path="m5249,2065l5297,2196,5333,2097,5297,2097,5249,2065xm5345,2065l5297,2097,5333,2097,5345,2065xe" filled="t" fillcolor="#231f20" stroked="f">
              <v:fill type="solid"/>
              <v:path arrowok="t"/>
            </v:shape>
            <v:line id="_x0000_s1035" style="position:absolute" from="6830,1423" to="8803,1423" stroked="t" strokecolor="#231f20" strokeweight="0.66pt">
              <v:stroke dashstyle="solid"/>
            </v:line>
            <v:line id="_x0000_s1036" style="position:absolute" from="8836,1470" to="8836,5324" stroked="t" strokecolor="#231f20" strokeweight="0.66pt">
              <v:stroke dashstyle="solid"/>
            </v:line>
            <v:line id="_x0000_s1037" style="position:absolute" from="8787,5358" to="8591,5358" stroked="t" strokecolor="#231f20" strokeweight="0.66pt">
              <v:stroke dashstyle="shortDash"/>
            </v:line>
            <v:shape id="_x0000_s1038" style="width:2053;height:3935;position:absolute;top:13358" coordorigin="0,13358" coordsize="2053,3935" path="m6784,1423l6804,1423m8816,1423l8836,1423,8836,1443m8836,5338l8836,5358,8815,5358m8577,5358l8556,5358e" filled="f" stroked="t" strokecolor="#231f20" strokeweight="0.66pt">
              <v:stroke dashstyle="solid"/>
              <v:path arrowok="t"/>
            </v:shape>
            <v:line id="_x0000_s1039" style="position:absolute" from="5297,3249" to="5297,3416" stroked="t" strokecolor="#231f20" strokeweight="0.66pt">
              <v:stroke dashstyle="solid"/>
            </v:line>
            <v:shape id="_x0000_s1040" style="width:96;height:131;left:5249;position:absolute;top:3384" coordorigin="5249,3384" coordsize="96,131" path="m5249,3384l5297,3515,5333,3416,5297,3416,5249,3384xm5345,3384l5297,3416,5333,3416,5345,3384xe" filled="t" fillcolor="#231f20" stroked="f">
              <v:fill type="solid"/>
              <v:path arrowok="t"/>
            </v:shape>
            <v:line id="_x0000_s1041" style="position:absolute" from="2105,3635" to="2105,6964" stroked="t" strokecolor="#231f20" strokeweight="0.66pt">
              <v:stroke dashstyle="shortDash"/>
            </v:line>
            <v:line id="_x0000_s1042" style="position:absolute" from="2152,6997" to="8392,6997" stroked="t" strokecolor="#231f20" strokeweight="0.66pt">
              <v:stroke dashstyle="solid"/>
            </v:line>
            <v:line id="_x0000_s1043" style="position:absolute" from="8426,6950" to="8426,3621" stroked="t" strokecolor="#231f20" strokeweight="0.66pt">
              <v:stroke dashstyle="shortDash"/>
            </v:line>
            <v:line id="_x0000_s1044" style="position:absolute" from="8379,3588" to="2139,3588" stroked="t" strokecolor="#231f20" strokeweight="0.66pt">
              <v:stroke dashstyle="solid"/>
            </v:line>
            <v:shape id="_x0000_s1045" style="width:6321;height:3410;position:absolute;top:9968" coordorigin="0,9969" coordsize="6321,3410" path="m2105,6977l2105,6997,2125,6997m8406,6997l8426,6997,8426,6977m8426,3608l8426,3588,8406,3588m2125,3588l2105,3588,2105,3608e" filled="f" stroked="t" strokecolor="#231f20" strokeweight="0.66pt">
              <v:stroke dashstyle="solid"/>
              <v:path arrowok="t"/>
            </v:shape>
            <v:shape id="_x0000_s1046" style="width:131;height:96;left:8456;position:absolute;top:5310" coordorigin="8456,5310" coordsize="131,96" path="m8587,5310l8456,5358,8587,5405,8556,5358,8587,5310xe" filled="t" fillcolor="#231f20" stroked="f">
              <v:fill type="solid"/>
              <v:path arrowok="t"/>
            </v:shape>
            <v:shape id="_x0000_s1047" type="#_x0000_t202" style="width:512;height:289;left:5063;position:absolute;top:927" filled="f" stroked="f">
              <v:textbox inset="0,0,0,0">
                <w:txbxContent>
                  <w:p>
                    <w:pPr>
                      <w:spacing w:before="0" w:line="288" w:lineRule="exact"/>
                      <w:ind w:left="0" w:right="0" w:firstLine="0"/>
                      <w:jc w:val="left"/>
                      <w:rPr>
                        <w:sz w:val="24"/>
                      </w:rPr>
                    </w:pPr>
                    <w:r>
                      <w:rPr>
                        <w:color w:val="231F20"/>
                        <w:sz w:val="24"/>
                      </w:rPr>
                      <w:t>必修</w:t>
                    </w:r>
                  </w:p>
                </w:txbxContent>
              </v:textbox>
            </v:shape>
            <v:shape id="_x0000_s1048" type="#_x0000_t202" style="width:1224;height:549;left:5434;position:absolute;top:1270" filled="f" stroked="t" strokecolor="#231f20" strokeweight="0.66pt">
              <v:stroke dashstyle="solid"/>
              <v:textbox inset="0,0,0,0">
                <w:txbxContent>
                  <w:p>
                    <w:pPr>
                      <w:spacing w:before="59" w:line="220" w:lineRule="exact"/>
                      <w:ind w:left="110" w:right="81" w:firstLine="0"/>
                      <w:jc w:val="center"/>
                      <w:rPr>
                        <w:sz w:val="18"/>
                      </w:rPr>
                    </w:pPr>
                    <w:r>
                      <w:rPr>
                        <w:color w:val="231F20"/>
                        <w:w w:val="105"/>
                        <w:sz w:val="18"/>
                      </w:rPr>
                      <w:t>遗传与进化</w:t>
                    </w:r>
                  </w:p>
                  <w:p>
                    <w:pPr>
                      <w:spacing w:before="0" w:line="169" w:lineRule="exact"/>
                      <w:ind w:left="110" w:right="81" w:firstLine="0"/>
                      <w:jc w:val="center"/>
                      <w:rPr>
                        <w:sz w:val="14"/>
                      </w:rPr>
                    </w:pPr>
                    <w:r>
                      <w:rPr>
                        <w:color w:val="231F20"/>
                        <w:sz w:val="14"/>
                      </w:rPr>
                      <w:t>（</w:t>
                    </w:r>
                    <w:r>
                      <w:rPr>
                        <w:rFonts w:ascii="Times New Roman" w:eastAsia="Times New Roman"/>
                        <w:b/>
                        <w:color w:val="231F20"/>
                        <w:sz w:val="14"/>
                      </w:rPr>
                      <w:t xml:space="preserve">2 </w:t>
                    </w:r>
                    <w:r>
                      <w:rPr>
                        <w:color w:val="231F20"/>
                        <w:sz w:val="14"/>
                      </w:rPr>
                      <w:t>学分）</w:t>
                    </w:r>
                  </w:p>
                </w:txbxContent>
              </v:textbox>
            </v:shape>
            <v:shape id="_x0000_s1049" type="#_x0000_t202" style="width:1224;height:549;left:3987;position:absolute;top:1270" filled="f" stroked="t" strokecolor="#231f20" strokeweight="0.66pt">
              <v:stroke dashstyle="solid"/>
              <v:textbox inset="0,0,0,0">
                <w:txbxContent>
                  <w:p>
                    <w:pPr>
                      <w:spacing w:before="59" w:line="220" w:lineRule="exact"/>
                      <w:ind w:left="94" w:right="98" w:firstLine="0"/>
                      <w:jc w:val="center"/>
                      <w:rPr>
                        <w:sz w:val="18"/>
                      </w:rPr>
                    </w:pPr>
                    <w:r>
                      <w:rPr>
                        <w:color w:val="231F20"/>
                        <w:w w:val="105"/>
                        <w:sz w:val="18"/>
                      </w:rPr>
                      <w:t>分子与细胞</w:t>
                    </w:r>
                  </w:p>
                  <w:p>
                    <w:pPr>
                      <w:spacing w:before="0" w:line="169" w:lineRule="exact"/>
                      <w:ind w:left="94" w:right="98" w:firstLine="0"/>
                      <w:jc w:val="center"/>
                      <w:rPr>
                        <w:sz w:val="14"/>
                      </w:rPr>
                    </w:pPr>
                    <w:r>
                      <w:rPr>
                        <w:color w:val="231F20"/>
                        <w:sz w:val="14"/>
                      </w:rPr>
                      <w:t>（</w:t>
                    </w:r>
                    <w:r>
                      <w:rPr>
                        <w:rFonts w:ascii="Times New Roman" w:eastAsia="Times New Roman"/>
                        <w:b/>
                        <w:color w:val="231F20"/>
                        <w:sz w:val="14"/>
                      </w:rPr>
                      <w:t xml:space="preserve">2 </w:t>
                    </w:r>
                    <w:r>
                      <w:rPr>
                        <w:color w:val="231F20"/>
                        <w:sz w:val="14"/>
                      </w:rPr>
                      <w:t>学分）</w:t>
                    </w:r>
                  </w:p>
                </w:txbxContent>
              </v:textbox>
            </v:shape>
          </v:group>
        </w:pict>
      </w:r>
      <w:r>
        <w:rPr>
          <w:color w:val="231F20"/>
          <w:spacing w:val="14"/>
        </w:rPr>
        <w:t>与环境”和“生物技术与工程”三个模块；选修部分涉及现实生</w:t>
      </w:r>
      <w:r>
        <w:rPr>
          <w:color w:val="231F20"/>
          <w:spacing w:val="7"/>
        </w:rPr>
        <w:t>活应用、职业规划前瞻及学业发展基础三个方向的多个拓展模块。</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after="1"/>
        <w:rPr>
          <w:sz w:val="29"/>
        </w:rPr>
      </w:pPr>
    </w:p>
    <w:tbl>
      <w:tblPr>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
        <w:gridCol w:w="52"/>
        <w:gridCol w:w="89"/>
        <w:gridCol w:w="207"/>
        <w:gridCol w:w="1061"/>
        <w:gridCol w:w="282"/>
        <w:gridCol w:w="194"/>
        <w:gridCol w:w="87"/>
        <w:gridCol w:w="1552"/>
        <w:gridCol w:w="267"/>
        <w:gridCol w:w="1552"/>
        <w:gridCol w:w="141"/>
        <w:gridCol w:w="160"/>
      </w:tblGrid>
      <w:tr>
        <w:tblPrEx>
          <w:tblW w:w="0" w:type="auto"/>
          <w:jc w:val="left"/>
          <w:tblInd w:w="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Ex>
        <w:trPr>
          <w:trHeight w:val="374"/>
          <w:jc w:val="left"/>
        </w:trPr>
        <w:tc>
          <w:tcPr>
            <w:tcW w:w="2204" w:type="dxa"/>
            <w:gridSpan w:val="8"/>
          </w:tcPr>
          <w:p>
            <w:pPr>
              <w:pStyle w:val="TableParagraph"/>
              <w:rPr>
                <w:rFonts w:ascii="Times New Roman"/>
                <w:sz w:val="20"/>
              </w:rPr>
            </w:pPr>
          </w:p>
        </w:tc>
        <w:tc>
          <w:tcPr>
            <w:tcW w:w="1552" w:type="dxa"/>
            <w:tcBorders>
              <w:top w:val="dashSmallGap" w:sz="6" w:space="0" w:color="231F20"/>
              <w:bottom w:val="single" w:sz="6" w:space="0" w:color="231F20"/>
            </w:tcBorders>
          </w:tcPr>
          <w:p>
            <w:pPr>
              <w:pStyle w:val="TableParagraph"/>
              <w:spacing w:before="56" w:line="299" w:lineRule="exact"/>
              <w:ind w:right="152"/>
              <w:jc w:val="right"/>
              <w:rPr>
                <w:sz w:val="24"/>
              </w:rPr>
            </w:pPr>
            <w:r>
              <w:rPr>
                <w:color w:val="231F20"/>
                <w:sz w:val="24"/>
              </w:rPr>
              <w:t>选择性必修</w:t>
            </w:r>
          </w:p>
        </w:tc>
        <w:tc>
          <w:tcPr>
            <w:tcW w:w="267" w:type="dxa"/>
            <w:tcBorders>
              <w:top w:val="dashSmallGap" w:sz="6" w:space="0" w:color="231F20"/>
            </w:tcBorders>
          </w:tcPr>
          <w:p>
            <w:pPr>
              <w:pStyle w:val="TableParagraph"/>
              <w:rPr>
                <w:rFonts w:ascii="Times New Roman"/>
                <w:sz w:val="20"/>
              </w:rPr>
            </w:pPr>
          </w:p>
        </w:tc>
        <w:tc>
          <w:tcPr>
            <w:tcW w:w="1552" w:type="dxa"/>
            <w:tcBorders>
              <w:top w:val="dashSmallGap" w:sz="6" w:space="0" w:color="231F20"/>
              <w:bottom w:val="single" w:sz="6" w:space="0" w:color="231F20"/>
              <w:right w:val="dashSmallGap" w:sz="6" w:space="0" w:color="231F20"/>
            </w:tcBorders>
          </w:tcPr>
          <w:p>
            <w:pPr>
              <w:pStyle w:val="TableParagraph"/>
              <w:rPr>
                <w:rFonts w:ascii="Times New Roman"/>
                <w:sz w:val="20"/>
              </w:rPr>
            </w:pPr>
          </w:p>
        </w:tc>
        <w:tc>
          <w:tcPr>
            <w:tcW w:w="141" w:type="dxa"/>
            <w:tcBorders>
              <w:left w:val="dashSmallGap" w:sz="6" w:space="0" w:color="231F20"/>
            </w:tcBorders>
          </w:tcPr>
          <w:p>
            <w:pPr>
              <w:pStyle w:val="TableParagraph"/>
              <w:rPr>
                <w:rFonts w:ascii="Times New Roman"/>
                <w:sz w:val="20"/>
              </w:rPr>
            </w:pPr>
          </w:p>
        </w:tc>
        <w:tc>
          <w:tcPr>
            <w:tcW w:w="160" w:type="dxa"/>
          </w:tcPr>
          <w:p>
            <w:pPr>
              <w:pStyle w:val="TableParagraph"/>
              <w:rPr>
                <w:rFonts w:ascii="Times New Roman"/>
                <w:sz w:val="20"/>
              </w:rPr>
            </w:pPr>
          </w:p>
        </w:tc>
      </w:tr>
      <w:tr>
        <w:tblPrEx>
          <w:tblW w:w="0" w:type="auto"/>
          <w:jc w:val="left"/>
          <w:tblInd w:w="831" w:type="dxa"/>
          <w:tblLayout w:type="fixed"/>
          <w:tblCellMar>
            <w:top w:w="0" w:type="dxa"/>
            <w:left w:w="0" w:type="dxa"/>
            <w:bottom w:w="0" w:type="dxa"/>
            <w:right w:w="0" w:type="dxa"/>
          </w:tblCellMar>
          <w:tblLook w:val="01E0"/>
        </w:tblPrEx>
        <w:trPr>
          <w:trHeight w:val="497"/>
          <w:jc w:val="left"/>
        </w:trPr>
        <w:tc>
          <w:tcPr>
            <w:tcW w:w="232" w:type="dxa"/>
            <w:tcBorders>
              <w:right w:val="dashSmallGap" w:sz="6" w:space="0" w:color="231F20"/>
            </w:tcBorders>
          </w:tcPr>
          <w:p>
            <w:pPr>
              <w:pStyle w:val="TableParagraph"/>
              <w:rPr>
                <w:rFonts w:ascii="Times New Roman"/>
                <w:sz w:val="20"/>
              </w:rPr>
            </w:pPr>
          </w:p>
        </w:tc>
        <w:tc>
          <w:tcPr>
            <w:tcW w:w="52" w:type="dxa"/>
            <w:tcBorders>
              <w:left w:val="dashSmallGap" w:sz="6" w:space="0" w:color="231F20"/>
            </w:tcBorders>
          </w:tcPr>
          <w:p>
            <w:pPr>
              <w:pStyle w:val="TableParagraph"/>
              <w:rPr>
                <w:rFonts w:ascii="Times New Roman"/>
                <w:sz w:val="20"/>
              </w:rPr>
            </w:pPr>
          </w:p>
        </w:tc>
        <w:tc>
          <w:tcPr>
            <w:tcW w:w="89" w:type="dxa"/>
            <w:tcBorders>
              <w:right w:val="single" w:sz="6" w:space="0" w:color="231F20"/>
            </w:tcBorders>
          </w:tcPr>
          <w:p>
            <w:pPr>
              <w:pStyle w:val="TableParagraph"/>
              <w:rPr>
                <w:rFonts w:ascii="Times New Roman"/>
                <w:sz w:val="20"/>
              </w:rPr>
            </w:pPr>
          </w:p>
        </w:tc>
        <w:tc>
          <w:tcPr>
            <w:tcW w:w="207" w:type="dxa"/>
            <w:tcBorders>
              <w:top w:val="single" w:sz="6" w:space="0" w:color="231F20"/>
              <w:left w:val="single" w:sz="6" w:space="0" w:color="231F20"/>
            </w:tcBorders>
          </w:tcPr>
          <w:p>
            <w:pPr>
              <w:pStyle w:val="TableParagraph"/>
              <w:rPr>
                <w:rFonts w:ascii="Times New Roman"/>
                <w:sz w:val="20"/>
              </w:rPr>
            </w:pPr>
          </w:p>
        </w:tc>
        <w:tc>
          <w:tcPr>
            <w:tcW w:w="1061" w:type="dxa"/>
            <w:tcBorders>
              <w:top w:val="single" w:sz="6" w:space="0" w:color="231F20"/>
            </w:tcBorders>
          </w:tcPr>
          <w:p>
            <w:pPr>
              <w:pStyle w:val="TableParagraph"/>
              <w:spacing w:before="54" w:line="220" w:lineRule="exact"/>
              <w:ind w:left="78"/>
              <w:jc w:val="center"/>
              <w:rPr>
                <w:sz w:val="18"/>
              </w:rPr>
            </w:pPr>
            <w:r>
              <w:rPr>
                <w:color w:val="231F20"/>
                <w:w w:val="105"/>
                <w:sz w:val="18"/>
              </w:rPr>
              <w:t>稳态与调节</w:t>
            </w:r>
          </w:p>
          <w:p>
            <w:pPr>
              <w:pStyle w:val="TableParagraph"/>
              <w:spacing w:line="169" w:lineRule="exact"/>
              <w:ind w:left="78"/>
              <w:jc w:val="center"/>
              <w:rPr>
                <w:sz w:val="14"/>
              </w:rPr>
            </w:pPr>
            <w:r>
              <w:rPr>
                <w:color w:val="231F20"/>
                <w:sz w:val="14"/>
              </w:rPr>
              <w:t>（</w:t>
            </w:r>
            <w:r>
              <w:rPr>
                <w:rFonts w:ascii="Times New Roman" w:eastAsia="Times New Roman"/>
                <w:b/>
                <w:color w:val="231F20"/>
                <w:sz w:val="14"/>
              </w:rPr>
              <w:t xml:space="preserve">2 </w:t>
            </w:r>
            <w:r>
              <w:rPr>
                <w:color w:val="231F20"/>
                <w:sz w:val="14"/>
              </w:rPr>
              <w:t>学分）</w:t>
            </w:r>
          </w:p>
        </w:tc>
        <w:tc>
          <w:tcPr>
            <w:tcW w:w="282" w:type="dxa"/>
            <w:tcBorders>
              <w:top w:val="single" w:sz="6" w:space="0" w:color="231F20"/>
              <w:right w:val="single" w:sz="6" w:space="0" w:color="231F20"/>
            </w:tcBorders>
          </w:tcPr>
          <w:p>
            <w:pPr>
              <w:pStyle w:val="TableParagraph"/>
              <w:rPr>
                <w:rFonts w:ascii="Times New Roman"/>
                <w:sz w:val="20"/>
              </w:rPr>
            </w:pPr>
          </w:p>
        </w:tc>
        <w:tc>
          <w:tcPr>
            <w:tcW w:w="194" w:type="dxa"/>
            <w:tcBorders>
              <w:left w:val="single" w:sz="6" w:space="0" w:color="231F20"/>
            </w:tcBorders>
          </w:tcPr>
          <w:p>
            <w:pPr>
              <w:pStyle w:val="TableParagraph"/>
              <w:rPr>
                <w:rFonts w:ascii="Times New Roman"/>
                <w:sz w:val="20"/>
              </w:rPr>
            </w:pPr>
          </w:p>
        </w:tc>
        <w:tc>
          <w:tcPr>
            <w:tcW w:w="87" w:type="dxa"/>
            <w:tcBorders>
              <w:right w:val="single" w:sz="6" w:space="0" w:color="231F20"/>
            </w:tcBorders>
          </w:tcPr>
          <w:p>
            <w:pPr>
              <w:pStyle w:val="TableParagraph"/>
              <w:rPr>
                <w:rFonts w:ascii="Times New Roman"/>
                <w:sz w:val="20"/>
              </w:rPr>
            </w:pPr>
          </w:p>
        </w:tc>
        <w:tc>
          <w:tcPr>
            <w:tcW w:w="1552" w:type="dxa"/>
            <w:tcBorders>
              <w:top w:val="single" w:sz="6" w:space="0" w:color="231F20"/>
              <w:left w:val="single" w:sz="6" w:space="0" w:color="231F20"/>
              <w:right w:val="single" w:sz="6" w:space="0" w:color="231F20"/>
            </w:tcBorders>
          </w:tcPr>
          <w:p>
            <w:pPr>
              <w:pStyle w:val="TableParagraph"/>
              <w:spacing w:before="54" w:line="220" w:lineRule="exact"/>
              <w:ind w:left="91" w:right="79"/>
              <w:jc w:val="center"/>
              <w:rPr>
                <w:sz w:val="18"/>
              </w:rPr>
            </w:pPr>
            <w:r>
              <w:rPr>
                <w:color w:val="231F20"/>
                <w:w w:val="105"/>
                <w:sz w:val="18"/>
              </w:rPr>
              <w:t>生物与环境</w:t>
            </w:r>
          </w:p>
          <w:p>
            <w:pPr>
              <w:pStyle w:val="TableParagraph"/>
              <w:spacing w:line="169" w:lineRule="exact"/>
              <w:ind w:left="91" w:right="79"/>
              <w:jc w:val="center"/>
              <w:rPr>
                <w:sz w:val="14"/>
              </w:rPr>
            </w:pPr>
            <w:r>
              <w:rPr>
                <w:color w:val="231F20"/>
                <w:sz w:val="14"/>
              </w:rPr>
              <w:t>（</w:t>
            </w:r>
            <w:r>
              <w:rPr>
                <w:rFonts w:ascii="Times New Roman" w:eastAsia="Times New Roman"/>
                <w:b/>
                <w:color w:val="231F20"/>
                <w:sz w:val="14"/>
              </w:rPr>
              <w:t xml:space="preserve">2 </w:t>
            </w:r>
            <w:r>
              <w:rPr>
                <w:color w:val="231F20"/>
                <w:sz w:val="14"/>
              </w:rPr>
              <w:t>学分）</w:t>
            </w:r>
          </w:p>
        </w:tc>
        <w:tc>
          <w:tcPr>
            <w:tcW w:w="267" w:type="dxa"/>
            <w:tcBorders>
              <w:left w:val="single" w:sz="6" w:space="0" w:color="231F20"/>
              <w:right w:val="single" w:sz="6" w:space="0" w:color="231F20"/>
            </w:tcBorders>
          </w:tcPr>
          <w:p>
            <w:pPr>
              <w:pStyle w:val="TableParagraph"/>
              <w:rPr>
                <w:rFonts w:ascii="Times New Roman"/>
                <w:sz w:val="20"/>
              </w:rPr>
            </w:pPr>
          </w:p>
        </w:tc>
        <w:tc>
          <w:tcPr>
            <w:tcW w:w="1552" w:type="dxa"/>
            <w:tcBorders>
              <w:top w:val="single" w:sz="6" w:space="0" w:color="231F20"/>
              <w:left w:val="single" w:sz="6" w:space="0" w:color="231F20"/>
              <w:bottom w:val="single" w:sz="6" w:space="0" w:color="231F20"/>
              <w:right w:val="dashSmallGap" w:sz="6" w:space="0" w:color="231F20"/>
            </w:tcBorders>
          </w:tcPr>
          <w:p>
            <w:pPr>
              <w:pStyle w:val="TableParagraph"/>
              <w:spacing w:before="54" w:line="220" w:lineRule="exact"/>
              <w:ind w:left="91" w:right="83"/>
              <w:jc w:val="center"/>
              <w:rPr>
                <w:sz w:val="18"/>
              </w:rPr>
            </w:pPr>
            <w:r>
              <w:rPr>
                <w:color w:val="231F20"/>
                <w:w w:val="105"/>
                <w:sz w:val="18"/>
              </w:rPr>
              <w:t>生物技术与工程</w:t>
            </w:r>
          </w:p>
          <w:p>
            <w:pPr>
              <w:pStyle w:val="TableParagraph"/>
              <w:spacing w:line="169" w:lineRule="exact"/>
              <w:ind w:left="91" w:right="83"/>
              <w:jc w:val="center"/>
              <w:rPr>
                <w:sz w:val="14"/>
              </w:rPr>
            </w:pPr>
            <w:r>
              <w:rPr>
                <w:color w:val="231F20"/>
                <w:sz w:val="14"/>
              </w:rPr>
              <w:t>（</w:t>
            </w:r>
            <w:r>
              <w:rPr>
                <w:rFonts w:ascii="Times New Roman" w:eastAsia="Times New Roman"/>
                <w:b/>
                <w:color w:val="231F20"/>
                <w:sz w:val="14"/>
              </w:rPr>
              <w:t xml:space="preserve">2 </w:t>
            </w:r>
            <w:r>
              <w:rPr>
                <w:color w:val="231F20"/>
                <w:sz w:val="14"/>
              </w:rPr>
              <w:t>学分）</w:t>
            </w:r>
          </w:p>
        </w:tc>
        <w:tc>
          <w:tcPr>
            <w:tcW w:w="141" w:type="dxa"/>
            <w:tcBorders>
              <w:left w:val="dashSmallGap" w:sz="6" w:space="0" w:color="231F20"/>
            </w:tcBorders>
          </w:tcPr>
          <w:p>
            <w:pPr>
              <w:pStyle w:val="TableParagraph"/>
              <w:rPr>
                <w:rFonts w:ascii="Times New Roman"/>
                <w:sz w:val="20"/>
              </w:rPr>
            </w:pPr>
          </w:p>
        </w:tc>
        <w:tc>
          <w:tcPr>
            <w:tcW w:w="160" w:type="dxa"/>
          </w:tcPr>
          <w:p>
            <w:pPr>
              <w:pStyle w:val="TableParagraph"/>
              <w:rPr>
                <w:rFonts w:ascii="Times New Roman"/>
                <w:sz w:val="20"/>
              </w:rPr>
            </w:pPr>
          </w:p>
        </w:tc>
      </w:tr>
      <w:tr>
        <w:tblPrEx>
          <w:tblW w:w="0" w:type="auto"/>
          <w:jc w:val="left"/>
          <w:tblInd w:w="831" w:type="dxa"/>
          <w:tblLayout w:type="fixed"/>
          <w:tblCellMar>
            <w:top w:w="0" w:type="dxa"/>
            <w:left w:w="0" w:type="dxa"/>
            <w:bottom w:w="0" w:type="dxa"/>
            <w:right w:w="0" w:type="dxa"/>
          </w:tblCellMar>
          <w:tblLook w:val="01E0"/>
        </w:tblPrEx>
        <w:trPr>
          <w:trHeight w:val="90"/>
          <w:jc w:val="left"/>
        </w:trPr>
        <w:tc>
          <w:tcPr>
            <w:tcW w:w="232" w:type="dxa"/>
            <w:tcBorders>
              <w:right w:val="dashSmallGap" w:sz="6" w:space="0" w:color="231F20"/>
            </w:tcBorders>
          </w:tcPr>
          <w:p>
            <w:pPr>
              <w:pStyle w:val="TableParagraph"/>
              <w:rPr>
                <w:rFonts w:ascii="Times New Roman"/>
                <w:sz w:val="4"/>
              </w:rPr>
            </w:pPr>
          </w:p>
        </w:tc>
        <w:tc>
          <w:tcPr>
            <w:tcW w:w="52" w:type="dxa"/>
            <w:tcBorders>
              <w:left w:val="dashSmallGap" w:sz="6" w:space="0" w:color="231F20"/>
            </w:tcBorders>
          </w:tcPr>
          <w:p>
            <w:pPr>
              <w:pStyle w:val="TableParagraph"/>
              <w:rPr>
                <w:rFonts w:ascii="Times New Roman"/>
                <w:sz w:val="4"/>
              </w:rPr>
            </w:pPr>
          </w:p>
        </w:tc>
        <w:tc>
          <w:tcPr>
            <w:tcW w:w="89" w:type="dxa"/>
            <w:tcBorders>
              <w:bottom w:val="dashSmallGap" w:sz="6" w:space="0" w:color="231F20"/>
            </w:tcBorders>
          </w:tcPr>
          <w:p>
            <w:pPr>
              <w:pStyle w:val="TableParagraph"/>
              <w:rPr>
                <w:rFonts w:ascii="Times New Roman"/>
                <w:sz w:val="4"/>
              </w:rPr>
            </w:pPr>
          </w:p>
        </w:tc>
        <w:tc>
          <w:tcPr>
            <w:tcW w:w="207" w:type="dxa"/>
            <w:tcBorders>
              <w:bottom w:val="dashSmallGap" w:sz="6" w:space="0" w:color="231F20"/>
            </w:tcBorders>
          </w:tcPr>
          <w:p>
            <w:pPr>
              <w:pStyle w:val="TableParagraph"/>
              <w:rPr>
                <w:rFonts w:ascii="Times New Roman"/>
                <w:sz w:val="4"/>
              </w:rPr>
            </w:pPr>
          </w:p>
        </w:tc>
        <w:tc>
          <w:tcPr>
            <w:tcW w:w="1061" w:type="dxa"/>
            <w:tcBorders>
              <w:bottom w:val="dashSmallGap" w:sz="6" w:space="0" w:color="231F20"/>
            </w:tcBorders>
          </w:tcPr>
          <w:p>
            <w:pPr>
              <w:pStyle w:val="TableParagraph"/>
              <w:rPr>
                <w:rFonts w:ascii="Times New Roman"/>
                <w:sz w:val="4"/>
              </w:rPr>
            </w:pPr>
          </w:p>
        </w:tc>
        <w:tc>
          <w:tcPr>
            <w:tcW w:w="282" w:type="dxa"/>
            <w:tcBorders>
              <w:bottom w:val="dashSmallGap" w:sz="6" w:space="0" w:color="231F20"/>
            </w:tcBorders>
          </w:tcPr>
          <w:p>
            <w:pPr>
              <w:pStyle w:val="TableParagraph"/>
              <w:rPr>
                <w:rFonts w:ascii="Times New Roman"/>
                <w:sz w:val="4"/>
              </w:rPr>
            </w:pPr>
          </w:p>
        </w:tc>
        <w:tc>
          <w:tcPr>
            <w:tcW w:w="194" w:type="dxa"/>
            <w:tcBorders>
              <w:bottom w:val="dashSmallGap" w:sz="6" w:space="0" w:color="231F20"/>
            </w:tcBorders>
          </w:tcPr>
          <w:p>
            <w:pPr>
              <w:pStyle w:val="TableParagraph"/>
              <w:rPr>
                <w:rFonts w:ascii="Times New Roman"/>
                <w:sz w:val="4"/>
              </w:rPr>
            </w:pPr>
          </w:p>
        </w:tc>
        <w:tc>
          <w:tcPr>
            <w:tcW w:w="87" w:type="dxa"/>
            <w:tcBorders>
              <w:bottom w:val="dashSmallGap" w:sz="6" w:space="0" w:color="231F20"/>
            </w:tcBorders>
          </w:tcPr>
          <w:p>
            <w:pPr>
              <w:pStyle w:val="TableParagraph"/>
              <w:rPr>
                <w:rFonts w:ascii="Times New Roman"/>
                <w:sz w:val="4"/>
              </w:rPr>
            </w:pPr>
          </w:p>
        </w:tc>
        <w:tc>
          <w:tcPr>
            <w:tcW w:w="1552" w:type="dxa"/>
            <w:tcBorders>
              <w:bottom w:val="dashSmallGap" w:sz="6" w:space="0" w:color="231F20"/>
            </w:tcBorders>
          </w:tcPr>
          <w:p>
            <w:pPr>
              <w:pStyle w:val="TableParagraph"/>
              <w:rPr>
                <w:rFonts w:ascii="Times New Roman"/>
                <w:sz w:val="4"/>
              </w:rPr>
            </w:pPr>
          </w:p>
        </w:tc>
        <w:tc>
          <w:tcPr>
            <w:tcW w:w="267" w:type="dxa"/>
            <w:tcBorders>
              <w:bottom w:val="dashSmallGap" w:sz="6" w:space="0" w:color="231F20"/>
            </w:tcBorders>
          </w:tcPr>
          <w:p>
            <w:pPr>
              <w:pStyle w:val="TableParagraph"/>
              <w:rPr>
                <w:rFonts w:ascii="Times New Roman"/>
                <w:sz w:val="4"/>
              </w:rPr>
            </w:pPr>
          </w:p>
        </w:tc>
        <w:tc>
          <w:tcPr>
            <w:tcW w:w="1552" w:type="dxa"/>
            <w:tcBorders>
              <w:top w:val="single" w:sz="6" w:space="0" w:color="231F20"/>
              <w:bottom w:val="dashSmallGap" w:sz="6" w:space="0" w:color="231F20"/>
              <w:right w:val="dashSmallGap" w:sz="6" w:space="0" w:color="231F20"/>
            </w:tcBorders>
          </w:tcPr>
          <w:p>
            <w:pPr>
              <w:pStyle w:val="TableParagraph"/>
              <w:rPr>
                <w:rFonts w:ascii="Times New Roman"/>
                <w:sz w:val="4"/>
              </w:rPr>
            </w:pPr>
          </w:p>
        </w:tc>
        <w:tc>
          <w:tcPr>
            <w:tcW w:w="141" w:type="dxa"/>
            <w:tcBorders>
              <w:left w:val="dashSmallGap" w:sz="6" w:space="0" w:color="231F20"/>
            </w:tcBorders>
          </w:tcPr>
          <w:p>
            <w:pPr>
              <w:pStyle w:val="TableParagraph"/>
              <w:rPr>
                <w:rFonts w:ascii="Times New Roman"/>
                <w:sz w:val="4"/>
              </w:rPr>
            </w:pPr>
          </w:p>
        </w:tc>
        <w:tc>
          <w:tcPr>
            <w:tcW w:w="160" w:type="dxa"/>
          </w:tcPr>
          <w:p>
            <w:pPr>
              <w:pStyle w:val="TableParagraph"/>
              <w:rPr>
                <w:rFonts w:ascii="Times New Roman"/>
                <w:sz w:val="4"/>
              </w:rPr>
            </w:pPr>
          </w:p>
        </w:tc>
      </w:tr>
      <w:tr>
        <w:tblPrEx>
          <w:tblW w:w="0" w:type="auto"/>
          <w:jc w:val="left"/>
          <w:tblInd w:w="831" w:type="dxa"/>
          <w:tblLayout w:type="fixed"/>
          <w:tblCellMar>
            <w:top w:w="0" w:type="dxa"/>
            <w:left w:w="0" w:type="dxa"/>
            <w:bottom w:w="0" w:type="dxa"/>
            <w:right w:w="0" w:type="dxa"/>
          </w:tblCellMar>
          <w:tblLook w:val="01E0"/>
        </w:tblPrEx>
        <w:trPr>
          <w:trHeight w:val="328"/>
          <w:jc w:val="left"/>
        </w:trPr>
        <w:tc>
          <w:tcPr>
            <w:tcW w:w="232" w:type="dxa"/>
          </w:tcPr>
          <w:p>
            <w:pPr>
              <w:pStyle w:val="TableParagraph"/>
              <w:rPr>
                <w:rFonts w:ascii="Times New Roman"/>
                <w:sz w:val="20"/>
              </w:rPr>
            </w:pPr>
          </w:p>
        </w:tc>
        <w:tc>
          <w:tcPr>
            <w:tcW w:w="52" w:type="dxa"/>
          </w:tcPr>
          <w:p>
            <w:pPr>
              <w:pStyle w:val="TableParagraph"/>
              <w:rPr>
                <w:rFonts w:ascii="Times New Roman"/>
                <w:sz w:val="20"/>
              </w:rPr>
            </w:pPr>
          </w:p>
        </w:tc>
        <w:tc>
          <w:tcPr>
            <w:tcW w:w="89" w:type="dxa"/>
            <w:tcBorders>
              <w:top w:val="dashSmallGap" w:sz="6" w:space="0" w:color="231F20"/>
            </w:tcBorders>
          </w:tcPr>
          <w:p>
            <w:pPr>
              <w:pStyle w:val="TableParagraph"/>
              <w:rPr>
                <w:rFonts w:ascii="Times New Roman"/>
                <w:sz w:val="20"/>
              </w:rPr>
            </w:pPr>
          </w:p>
        </w:tc>
        <w:tc>
          <w:tcPr>
            <w:tcW w:w="207" w:type="dxa"/>
            <w:tcBorders>
              <w:top w:val="dashSmallGap" w:sz="6" w:space="0" w:color="231F20"/>
            </w:tcBorders>
          </w:tcPr>
          <w:p>
            <w:pPr>
              <w:pStyle w:val="TableParagraph"/>
              <w:rPr>
                <w:rFonts w:ascii="Times New Roman"/>
                <w:sz w:val="20"/>
              </w:rPr>
            </w:pPr>
          </w:p>
        </w:tc>
        <w:tc>
          <w:tcPr>
            <w:tcW w:w="1061" w:type="dxa"/>
            <w:tcBorders>
              <w:top w:val="dashSmallGap" w:sz="6" w:space="0" w:color="231F20"/>
            </w:tcBorders>
          </w:tcPr>
          <w:p>
            <w:pPr>
              <w:pStyle w:val="TableParagraph"/>
              <w:rPr>
                <w:rFonts w:ascii="Times New Roman"/>
                <w:sz w:val="20"/>
              </w:rPr>
            </w:pPr>
          </w:p>
        </w:tc>
        <w:tc>
          <w:tcPr>
            <w:tcW w:w="282" w:type="dxa"/>
            <w:tcBorders>
              <w:top w:val="dashSmallGap" w:sz="6" w:space="0" w:color="231F20"/>
            </w:tcBorders>
          </w:tcPr>
          <w:p>
            <w:pPr>
              <w:pStyle w:val="TableParagraph"/>
              <w:rPr>
                <w:rFonts w:ascii="Times New Roman"/>
                <w:sz w:val="20"/>
              </w:rPr>
            </w:pPr>
          </w:p>
        </w:tc>
        <w:tc>
          <w:tcPr>
            <w:tcW w:w="194" w:type="dxa"/>
            <w:tcBorders>
              <w:top w:val="dashSmallGap" w:sz="6" w:space="0" w:color="231F20"/>
            </w:tcBorders>
          </w:tcPr>
          <w:p>
            <w:pPr>
              <w:pStyle w:val="TableParagraph"/>
              <w:rPr>
                <w:rFonts w:ascii="Times New Roman"/>
                <w:sz w:val="20"/>
              </w:rPr>
            </w:pPr>
          </w:p>
        </w:tc>
        <w:tc>
          <w:tcPr>
            <w:tcW w:w="87" w:type="dxa"/>
            <w:tcBorders>
              <w:top w:val="dashSmallGap" w:sz="6" w:space="0" w:color="231F20"/>
            </w:tcBorders>
          </w:tcPr>
          <w:p>
            <w:pPr>
              <w:pStyle w:val="TableParagraph"/>
              <w:rPr>
                <w:rFonts w:ascii="Times New Roman"/>
                <w:sz w:val="20"/>
              </w:rPr>
            </w:pPr>
          </w:p>
        </w:tc>
        <w:tc>
          <w:tcPr>
            <w:tcW w:w="1552" w:type="dxa"/>
            <w:tcBorders>
              <w:top w:val="dashSmallGap" w:sz="6" w:space="0" w:color="231F20"/>
            </w:tcBorders>
          </w:tcPr>
          <w:p>
            <w:pPr>
              <w:pStyle w:val="TableParagraph"/>
              <w:rPr>
                <w:rFonts w:ascii="Times New Roman"/>
                <w:sz w:val="20"/>
              </w:rPr>
            </w:pPr>
          </w:p>
        </w:tc>
        <w:tc>
          <w:tcPr>
            <w:tcW w:w="267" w:type="dxa"/>
            <w:tcBorders>
              <w:top w:val="dashSmallGap" w:sz="6" w:space="0" w:color="231F20"/>
            </w:tcBorders>
          </w:tcPr>
          <w:p>
            <w:pPr>
              <w:pStyle w:val="TableParagraph"/>
              <w:rPr>
                <w:rFonts w:ascii="Times New Roman"/>
                <w:sz w:val="20"/>
              </w:rPr>
            </w:pPr>
          </w:p>
        </w:tc>
        <w:tc>
          <w:tcPr>
            <w:tcW w:w="1552" w:type="dxa"/>
            <w:tcBorders>
              <w:top w:val="dashSmallGap" w:sz="6" w:space="0" w:color="231F20"/>
            </w:tcBorders>
          </w:tcPr>
          <w:p>
            <w:pPr>
              <w:pStyle w:val="TableParagraph"/>
              <w:rPr>
                <w:rFonts w:ascii="Times New Roman"/>
                <w:sz w:val="20"/>
              </w:rPr>
            </w:pPr>
          </w:p>
        </w:tc>
        <w:tc>
          <w:tcPr>
            <w:tcW w:w="141" w:type="dxa"/>
            <w:tcBorders>
              <w:top w:val="dashSmallGap" w:sz="6" w:space="0" w:color="231F20"/>
            </w:tcBorders>
          </w:tcPr>
          <w:p>
            <w:pPr>
              <w:pStyle w:val="TableParagraph"/>
              <w:rPr>
                <w:rFonts w:ascii="Times New Roman"/>
                <w:sz w:val="20"/>
              </w:rPr>
            </w:pPr>
          </w:p>
        </w:tc>
        <w:tc>
          <w:tcPr>
            <w:tcW w:w="160" w:type="dxa"/>
          </w:tcPr>
          <w:p>
            <w:pPr>
              <w:pStyle w:val="TableParagraph"/>
              <w:rPr>
                <w:rFonts w:ascii="Times New Roman"/>
                <w:sz w:val="20"/>
              </w:rPr>
            </w:pPr>
          </w:p>
        </w:tc>
      </w:tr>
      <w:tr>
        <w:tblPrEx>
          <w:tblW w:w="0" w:type="auto"/>
          <w:jc w:val="left"/>
          <w:tblInd w:w="831" w:type="dxa"/>
          <w:tblLayout w:type="fixed"/>
          <w:tblCellMar>
            <w:top w:w="0" w:type="dxa"/>
            <w:left w:w="0" w:type="dxa"/>
            <w:bottom w:w="0" w:type="dxa"/>
            <w:right w:w="0" w:type="dxa"/>
          </w:tblCellMar>
          <w:tblLook w:val="01E0"/>
        </w:tblPrEx>
        <w:trPr>
          <w:trHeight w:val="313"/>
          <w:jc w:val="left"/>
        </w:trPr>
        <w:tc>
          <w:tcPr>
            <w:tcW w:w="232" w:type="dxa"/>
          </w:tcPr>
          <w:p>
            <w:pPr>
              <w:pStyle w:val="TableParagraph"/>
              <w:rPr>
                <w:rFonts w:ascii="Times New Roman"/>
                <w:sz w:val="20"/>
              </w:rPr>
            </w:pPr>
          </w:p>
        </w:tc>
        <w:tc>
          <w:tcPr>
            <w:tcW w:w="52" w:type="dxa"/>
          </w:tcPr>
          <w:p>
            <w:pPr>
              <w:pStyle w:val="TableParagraph"/>
              <w:rPr>
                <w:rFonts w:ascii="Times New Roman"/>
                <w:sz w:val="20"/>
              </w:rPr>
            </w:pPr>
          </w:p>
        </w:tc>
        <w:tc>
          <w:tcPr>
            <w:tcW w:w="89" w:type="dxa"/>
          </w:tcPr>
          <w:p>
            <w:pPr>
              <w:pStyle w:val="TableParagraph"/>
              <w:rPr>
                <w:rFonts w:ascii="Times New Roman"/>
                <w:sz w:val="20"/>
              </w:rPr>
            </w:pPr>
          </w:p>
        </w:tc>
        <w:tc>
          <w:tcPr>
            <w:tcW w:w="207" w:type="dxa"/>
          </w:tcPr>
          <w:p>
            <w:pPr>
              <w:pStyle w:val="TableParagraph"/>
              <w:rPr>
                <w:rFonts w:ascii="Times New Roman"/>
                <w:sz w:val="20"/>
              </w:rPr>
            </w:pPr>
          </w:p>
        </w:tc>
        <w:tc>
          <w:tcPr>
            <w:tcW w:w="1061" w:type="dxa"/>
          </w:tcPr>
          <w:p>
            <w:pPr>
              <w:pStyle w:val="TableParagraph"/>
              <w:rPr>
                <w:rFonts w:ascii="Times New Roman"/>
                <w:sz w:val="20"/>
              </w:rPr>
            </w:pPr>
          </w:p>
        </w:tc>
        <w:tc>
          <w:tcPr>
            <w:tcW w:w="282" w:type="dxa"/>
          </w:tcPr>
          <w:p>
            <w:pPr>
              <w:pStyle w:val="TableParagraph"/>
              <w:rPr>
                <w:rFonts w:ascii="Times New Roman"/>
                <w:sz w:val="20"/>
              </w:rPr>
            </w:pPr>
          </w:p>
        </w:tc>
        <w:tc>
          <w:tcPr>
            <w:tcW w:w="194" w:type="dxa"/>
          </w:tcPr>
          <w:p>
            <w:pPr>
              <w:pStyle w:val="TableParagraph"/>
              <w:rPr>
                <w:rFonts w:ascii="Times New Roman"/>
                <w:sz w:val="20"/>
              </w:rPr>
            </w:pPr>
          </w:p>
        </w:tc>
        <w:tc>
          <w:tcPr>
            <w:tcW w:w="87" w:type="dxa"/>
          </w:tcPr>
          <w:p>
            <w:pPr>
              <w:pStyle w:val="TableParagraph"/>
              <w:rPr>
                <w:rFonts w:ascii="Times New Roman"/>
                <w:sz w:val="20"/>
              </w:rPr>
            </w:pPr>
          </w:p>
        </w:tc>
        <w:tc>
          <w:tcPr>
            <w:tcW w:w="1552" w:type="dxa"/>
          </w:tcPr>
          <w:p>
            <w:pPr>
              <w:pStyle w:val="TableParagraph"/>
              <w:spacing w:before="1" w:line="292" w:lineRule="exact"/>
              <w:ind w:left="516" w:right="516"/>
              <w:jc w:val="center"/>
              <w:rPr>
                <w:sz w:val="24"/>
              </w:rPr>
            </w:pPr>
            <w:r>
              <w:rPr>
                <w:color w:val="231F20"/>
                <w:sz w:val="24"/>
              </w:rPr>
              <w:t>选修</w:t>
            </w:r>
          </w:p>
        </w:tc>
        <w:tc>
          <w:tcPr>
            <w:tcW w:w="267" w:type="dxa"/>
          </w:tcPr>
          <w:p>
            <w:pPr>
              <w:pStyle w:val="TableParagraph"/>
              <w:rPr>
                <w:rFonts w:ascii="Times New Roman"/>
                <w:sz w:val="20"/>
              </w:rPr>
            </w:pPr>
          </w:p>
        </w:tc>
        <w:tc>
          <w:tcPr>
            <w:tcW w:w="1552" w:type="dxa"/>
          </w:tcPr>
          <w:p>
            <w:pPr>
              <w:pStyle w:val="TableParagraph"/>
              <w:rPr>
                <w:rFonts w:ascii="Times New Roman"/>
                <w:sz w:val="20"/>
              </w:rPr>
            </w:pPr>
          </w:p>
        </w:tc>
        <w:tc>
          <w:tcPr>
            <w:tcW w:w="141" w:type="dxa"/>
          </w:tcPr>
          <w:p>
            <w:pPr>
              <w:pStyle w:val="TableParagraph"/>
              <w:rPr>
                <w:rFonts w:ascii="Times New Roman"/>
                <w:sz w:val="20"/>
              </w:rPr>
            </w:pPr>
          </w:p>
        </w:tc>
        <w:tc>
          <w:tcPr>
            <w:tcW w:w="160" w:type="dxa"/>
          </w:tcPr>
          <w:p>
            <w:pPr>
              <w:pStyle w:val="TableParagraph"/>
              <w:rPr>
                <w:rFonts w:ascii="Times New Roman"/>
                <w:sz w:val="20"/>
              </w:rPr>
            </w:pPr>
          </w:p>
        </w:tc>
      </w:tr>
      <w:tr>
        <w:tblPrEx>
          <w:tblW w:w="0" w:type="auto"/>
          <w:jc w:val="left"/>
          <w:tblInd w:w="831" w:type="dxa"/>
          <w:tblLayout w:type="fixed"/>
          <w:tblCellMar>
            <w:top w:w="0" w:type="dxa"/>
            <w:left w:w="0" w:type="dxa"/>
            <w:bottom w:w="0" w:type="dxa"/>
            <w:right w:w="0" w:type="dxa"/>
          </w:tblCellMar>
          <w:tblLook w:val="01E0"/>
        </w:tblPrEx>
        <w:trPr>
          <w:trHeight w:val="1456"/>
          <w:jc w:val="left"/>
        </w:trPr>
        <w:tc>
          <w:tcPr>
            <w:tcW w:w="232" w:type="dxa"/>
          </w:tcPr>
          <w:p>
            <w:pPr>
              <w:pStyle w:val="TableParagraph"/>
              <w:rPr>
                <w:rFonts w:ascii="Times New Roman"/>
                <w:sz w:val="20"/>
              </w:rPr>
            </w:pPr>
          </w:p>
        </w:tc>
        <w:tc>
          <w:tcPr>
            <w:tcW w:w="52" w:type="dxa"/>
          </w:tcPr>
          <w:p>
            <w:pPr>
              <w:pStyle w:val="TableParagraph"/>
              <w:rPr>
                <w:rFonts w:ascii="Times New Roman"/>
                <w:sz w:val="20"/>
              </w:rPr>
            </w:pPr>
          </w:p>
        </w:tc>
        <w:tc>
          <w:tcPr>
            <w:tcW w:w="89" w:type="dxa"/>
          </w:tcPr>
          <w:p>
            <w:pPr>
              <w:pStyle w:val="TableParagraph"/>
              <w:rPr>
                <w:rFonts w:ascii="Times New Roman"/>
                <w:sz w:val="20"/>
              </w:rPr>
            </w:pPr>
          </w:p>
        </w:tc>
        <w:tc>
          <w:tcPr>
            <w:tcW w:w="207" w:type="dxa"/>
          </w:tcPr>
          <w:p>
            <w:pPr>
              <w:pStyle w:val="TableParagraph"/>
              <w:rPr>
                <w:rFonts w:ascii="Times New Roman"/>
                <w:sz w:val="20"/>
              </w:rPr>
            </w:pPr>
          </w:p>
        </w:tc>
        <w:tc>
          <w:tcPr>
            <w:tcW w:w="1061" w:type="dxa"/>
          </w:tcPr>
          <w:p>
            <w:pPr>
              <w:pStyle w:val="TableParagraph"/>
              <w:rPr>
                <w:rFonts w:ascii="Times New Roman"/>
                <w:sz w:val="20"/>
              </w:rPr>
            </w:pPr>
          </w:p>
        </w:tc>
        <w:tc>
          <w:tcPr>
            <w:tcW w:w="282" w:type="dxa"/>
          </w:tcPr>
          <w:p>
            <w:pPr>
              <w:pStyle w:val="TableParagraph"/>
              <w:rPr>
                <w:rFonts w:ascii="Times New Roman"/>
                <w:sz w:val="20"/>
              </w:rPr>
            </w:pPr>
          </w:p>
        </w:tc>
        <w:tc>
          <w:tcPr>
            <w:tcW w:w="194" w:type="dxa"/>
          </w:tcPr>
          <w:p>
            <w:pPr>
              <w:pStyle w:val="TableParagraph"/>
              <w:rPr>
                <w:rFonts w:ascii="Times New Roman"/>
                <w:sz w:val="20"/>
              </w:rPr>
            </w:pPr>
          </w:p>
        </w:tc>
        <w:tc>
          <w:tcPr>
            <w:tcW w:w="87" w:type="dxa"/>
          </w:tcPr>
          <w:p>
            <w:pPr>
              <w:pStyle w:val="TableParagraph"/>
              <w:rPr>
                <w:rFonts w:ascii="Times New Roman"/>
                <w:sz w:val="20"/>
              </w:rPr>
            </w:pPr>
          </w:p>
        </w:tc>
        <w:tc>
          <w:tcPr>
            <w:tcW w:w="1552" w:type="dxa"/>
          </w:tcPr>
          <w:p>
            <w:pPr>
              <w:pStyle w:val="TableParagraph"/>
              <w:spacing w:line="230" w:lineRule="exact"/>
              <w:ind w:right="149"/>
              <w:jc w:val="right"/>
              <w:rPr>
                <w:rFonts w:ascii="Times New Roman" w:eastAsia="Times New Roman"/>
                <w:b/>
                <w:sz w:val="18"/>
              </w:rPr>
            </w:pPr>
            <w:r>
              <w:rPr>
                <w:color w:val="231F20"/>
                <w:w w:val="105"/>
                <w:sz w:val="18"/>
              </w:rPr>
              <w:t>（每模块</w:t>
            </w:r>
            <w:r>
              <w:rPr>
                <w:rFonts w:ascii="Times New Roman" w:eastAsia="Times New Roman"/>
                <w:b/>
                <w:color w:val="231F20"/>
                <w:w w:val="105"/>
                <w:sz w:val="18"/>
              </w:rPr>
              <w:t xml:space="preserve">1 </w:t>
            </w:r>
            <w:r>
              <w:rPr>
                <w:color w:val="231F20"/>
                <w:w w:val="105"/>
                <w:sz w:val="18"/>
              </w:rPr>
              <w:t>学分</w:t>
            </w:r>
            <w:r>
              <w:rPr>
                <w:rFonts w:ascii="Times New Roman" w:eastAsia="Times New Roman"/>
                <w:b/>
                <w:color w:val="231F20"/>
                <w:w w:val="105"/>
                <w:sz w:val="18"/>
              </w:rPr>
              <w:t>)</w:t>
            </w:r>
          </w:p>
        </w:tc>
        <w:tc>
          <w:tcPr>
            <w:tcW w:w="267" w:type="dxa"/>
          </w:tcPr>
          <w:p>
            <w:pPr>
              <w:pStyle w:val="TableParagraph"/>
              <w:rPr>
                <w:rFonts w:ascii="Times New Roman"/>
                <w:sz w:val="20"/>
              </w:rPr>
            </w:pPr>
          </w:p>
        </w:tc>
        <w:tc>
          <w:tcPr>
            <w:tcW w:w="1552" w:type="dxa"/>
          </w:tcPr>
          <w:p>
            <w:pPr>
              <w:pStyle w:val="TableParagraph"/>
              <w:rPr>
                <w:rFonts w:ascii="Times New Roman"/>
                <w:sz w:val="20"/>
              </w:rPr>
            </w:pPr>
          </w:p>
        </w:tc>
        <w:tc>
          <w:tcPr>
            <w:tcW w:w="141" w:type="dxa"/>
          </w:tcPr>
          <w:p>
            <w:pPr>
              <w:pStyle w:val="TableParagraph"/>
              <w:rPr>
                <w:rFonts w:ascii="Times New Roman"/>
                <w:sz w:val="20"/>
              </w:rPr>
            </w:pPr>
          </w:p>
        </w:tc>
        <w:tc>
          <w:tcPr>
            <w:tcW w:w="160" w:type="dxa"/>
          </w:tcPr>
          <w:p>
            <w:pPr>
              <w:pStyle w:val="TableParagraph"/>
              <w:rPr>
                <w:rFonts w:ascii="Times New Roman"/>
                <w:sz w:val="20"/>
              </w:rPr>
            </w:pPr>
          </w:p>
        </w:tc>
      </w:tr>
      <w:tr>
        <w:tblPrEx>
          <w:tblW w:w="0" w:type="auto"/>
          <w:jc w:val="left"/>
          <w:tblInd w:w="831" w:type="dxa"/>
          <w:tblLayout w:type="fixed"/>
          <w:tblCellMar>
            <w:top w:w="0" w:type="dxa"/>
            <w:left w:w="0" w:type="dxa"/>
            <w:bottom w:w="0" w:type="dxa"/>
            <w:right w:w="0" w:type="dxa"/>
          </w:tblCellMar>
          <w:tblLook w:val="01E0"/>
        </w:tblPrEx>
        <w:trPr>
          <w:trHeight w:val="1639"/>
          <w:jc w:val="left"/>
        </w:trPr>
        <w:tc>
          <w:tcPr>
            <w:tcW w:w="232" w:type="dxa"/>
          </w:tcPr>
          <w:p>
            <w:pPr>
              <w:pStyle w:val="TableParagraph"/>
              <w:rPr>
                <w:rFonts w:ascii="Times New Roman"/>
                <w:sz w:val="20"/>
              </w:rPr>
            </w:pPr>
          </w:p>
        </w:tc>
        <w:tc>
          <w:tcPr>
            <w:tcW w:w="52" w:type="dxa"/>
          </w:tcPr>
          <w:p>
            <w:pPr>
              <w:pStyle w:val="TableParagraph"/>
              <w:rPr>
                <w:rFonts w:ascii="Times New Roman"/>
                <w:sz w:val="20"/>
              </w:rPr>
            </w:pPr>
          </w:p>
        </w:tc>
        <w:tc>
          <w:tcPr>
            <w:tcW w:w="89" w:type="dxa"/>
          </w:tcPr>
          <w:p>
            <w:pPr>
              <w:pStyle w:val="TableParagraph"/>
              <w:rPr>
                <w:rFonts w:ascii="Times New Roman"/>
                <w:sz w:val="20"/>
              </w:rPr>
            </w:pPr>
          </w:p>
        </w:tc>
        <w:tc>
          <w:tcPr>
            <w:tcW w:w="207" w:type="dxa"/>
          </w:tcPr>
          <w:p>
            <w:pPr>
              <w:pStyle w:val="TableParagraph"/>
              <w:rPr>
                <w:rFonts w:ascii="Times New Roman"/>
                <w:sz w:val="20"/>
              </w:rPr>
            </w:pPr>
          </w:p>
        </w:tc>
        <w:tc>
          <w:tcPr>
            <w:tcW w:w="1061" w:type="dxa"/>
          </w:tcPr>
          <w:p>
            <w:pPr>
              <w:pStyle w:val="TableParagraph"/>
              <w:rPr>
                <w:rFonts w:ascii="Times New Roman"/>
                <w:sz w:val="20"/>
              </w:rPr>
            </w:pPr>
          </w:p>
        </w:tc>
        <w:tc>
          <w:tcPr>
            <w:tcW w:w="282" w:type="dxa"/>
          </w:tcPr>
          <w:p>
            <w:pPr>
              <w:pStyle w:val="TableParagraph"/>
              <w:rPr>
                <w:rFonts w:ascii="Times New Roman"/>
                <w:sz w:val="20"/>
              </w:rPr>
            </w:pPr>
          </w:p>
        </w:tc>
        <w:tc>
          <w:tcPr>
            <w:tcW w:w="194" w:type="dxa"/>
          </w:tcPr>
          <w:p>
            <w:pPr>
              <w:pStyle w:val="TableParagraph"/>
              <w:rPr>
                <w:rFonts w:ascii="Times New Roman"/>
                <w:sz w:val="20"/>
              </w:rPr>
            </w:pPr>
          </w:p>
        </w:tc>
        <w:tc>
          <w:tcPr>
            <w:tcW w:w="87" w:type="dxa"/>
          </w:tcPr>
          <w:p>
            <w:pPr>
              <w:pStyle w:val="TableParagraph"/>
              <w:rPr>
                <w:rFonts w:ascii="Times New Roman"/>
                <w:sz w:val="20"/>
              </w:rPr>
            </w:pPr>
          </w:p>
        </w:tc>
        <w:tc>
          <w:tcPr>
            <w:tcW w:w="1552" w:type="dxa"/>
          </w:tcPr>
          <w:p>
            <w:pPr>
              <w:pStyle w:val="TableParagraph"/>
              <w:rPr>
                <w:rFonts w:ascii="Times New Roman"/>
                <w:sz w:val="20"/>
              </w:rPr>
            </w:pPr>
          </w:p>
        </w:tc>
        <w:tc>
          <w:tcPr>
            <w:tcW w:w="267" w:type="dxa"/>
          </w:tcPr>
          <w:p>
            <w:pPr>
              <w:pStyle w:val="TableParagraph"/>
              <w:rPr>
                <w:rFonts w:ascii="Times New Roman"/>
                <w:sz w:val="20"/>
              </w:rPr>
            </w:pPr>
          </w:p>
        </w:tc>
        <w:tc>
          <w:tcPr>
            <w:tcW w:w="1552" w:type="dxa"/>
          </w:tcPr>
          <w:p>
            <w:pPr>
              <w:pStyle w:val="TableParagraph"/>
              <w:rPr>
                <w:rFonts w:ascii="Times New Roman"/>
                <w:sz w:val="20"/>
              </w:rPr>
            </w:pPr>
          </w:p>
        </w:tc>
        <w:tc>
          <w:tcPr>
            <w:tcW w:w="141" w:type="dxa"/>
          </w:tcPr>
          <w:p>
            <w:pPr>
              <w:pStyle w:val="TableParagraph"/>
              <w:rPr>
                <w:rFonts w:ascii="Times New Roman"/>
                <w:sz w:val="20"/>
              </w:rPr>
            </w:pPr>
          </w:p>
        </w:tc>
        <w:tc>
          <w:tcPr>
            <w:tcW w:w="160" w:type="dxa"/>
          </w:tcPr>
          <w:p>
            <w:pPr>
              <w:pStyle w:val="TableParagraph"/>
              <w:rPr>
                <w:rFonts w:ascii="Times New Roman"/>
                <w:sz w:val="20"/>
              </w:rPr>
            </w:pPr>
          </w:p>
        </w:tc>
      </w:tr>
    </w:tbl>
    <w:p>
      <w:pPr>
        <w:spacing w:before="147"/>
        <w:ind w:left="150" w:right="0" w:firstLine="0"/>
        <w:jc w:val="center"/>
        <w:rPr>
          <w:sz w:val="20"/>
        </w:rPr>
      </w:pPr>
      <w:r>
        <w:pict>
          <v:shape id="_x0000_s1050" type="#_x0000_t202" style="width:83.2pt;height:135.2pt;margin-top:-141.7pt;margin-left:114.85pt;mso-position-horizontal-relative:page;position:absolute;z-index:251675648" filled="f" stroked="f">
            <v:textbox inset="0,0,0,0">
              <w:txbxContent>
                <w:tbl>
                  <w:tblPr>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84"/>
                    <w:gridCol w:w="297"/>
                    <w:gridCol w:w="501"/>
                    <w:gridCol w:w="276"/>
                    <w:gridCol w:w="284"/>
                  </w:tblGrid>
                  <w:tr>
                    <w:tblPrEx>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Ex>
                    <w:trPr>
                      <w:trHeight w:val="310"/>
                      <w:jc w:val="left"/>
                    </w:trPr>
                    <w:tc>
                      <w:tcPr>
                        <w:tcW w:w="1642" w:type="dxa"/>
                        <w:gridSpan w:val="5"/>
                        <w:tcBorders>
                          <w:top w:val="dashSmallGap" w:sz="6" w:space="0" w:color="231F20"/>
                          <w:left w:val="dashSmallGap" w:sz="6" w:space="0" w:color="231F20"/>
                          <w:right w:val="dashSmallGap" w:sz="6" w:space="0" w:color="231F20"/>
                        </w:tcBorders>
                      </w:tcPr>
                      <w:p>
                        <w:pPr>
                          <w:pStyle w:val="TableParagraph"/>
                          <w:spacing w:before="52"/>
                          <w:ind w:left="259"/>
                          <w:rPr>
                            <w:sz w:val="18"/>
                          </w:rPr>
                        </w:pPr>
                        <w:r>
                          <w:rPr>
                            <w:color w:val="231F20"/>
                            <w:w w:val="105"/>
                            <w:sz w:val="18"/>
                          </w:rPr>
                          <w:t>现实生活应用</w:t>
                        </w:r>
                      </w:p>
                    </w:tc>
                  </w:tr>
                  <w:tr>
                    <w:tblPrEx>
                      <w:tblW w:w="0" w:type="auto"/>
                      <w:jc w:val="left"/>
                      <w:tblInd w:w="7" w:type="dxa"/>
                      <w:tblLayout w:type="fixed"/>
                      <w:tblCellMar>
                        <w:top w:w="0" w:type="dxa"/>
                        <w:left w:w="0" w:type="dxa"/>
                        <w:bottom w:w="0" w:type="dxa"/>
                        <w:right w:w="0" w:type="dxa"/>
                      </w:tblCellMar>
                      <w:tblLook w:val="01E0"/>
                    </w:tblPrEx>
                    <w:trPr>
                      <w:trHeight w:val="2349"/>
                      <w:jc w:val="left"/>
                    </w:trPr>
                    <w:tc>
                      <w:tcPr>
                        <w:tcW w:w="284" w:type="dxa"/>
                      </w:tcPr>
                      <w:p>
                        <w:pPr>
                          <w:pStyle w:val="TableParagraph"/>
                          <w:rPr>
                            <w:sz w:val="22"/>
                          </w:rPr>
                        </w:pPr>
                      </w:p>
                      <w:p>
                        <w:pPr>
                          <w:pStyle w:val="TableParagraph"/>
                          <w:rPr>
                            <w:sz w:val="22"/>
                          </w:rPr>
                        </w:pPr>
                      </w:p>
                      <w:p>
                        <w:pPr>
                          <w:pStyle w:val="TableParagraph"/>
                          <w:spacing w:before="6"/>
                          <w:rPr>
                            <w:sz w:val="15"/>
                          </w:rPr>
                        </w:pPr>
                      </w:p>
                      <w:p>
                        <w:pPr>
                          <w:pStyle w:val="TableParagraph"/>
                          <w:spacing w:line="218" w:lineRule="auto"/>
                          <w:ind w:left="56" w:right="22"/>
                          <w:jc w:val="both"/>
                          <w:rPr>
                            <w:sz w:val="18"/>
                          </w:rPr>
                        </w:pPr>
                        <w:r>
                          <w:rPr>
                            <w:color w:val="231F20"/>
                            <w:w w:val="105"/>
                            <w:sz w:val="18"/>
                          </w:rPr>
                          <w:t>健康生活</w:t>
                        </w:r>
                      </w:p>
                    </w:tc>
                    <w:tc>
                      <w:tcPr>
                        <w:tcW w:w="297" w:type="dxa"/>
                      </w:tcPr>
                      <w:p>
                        <w:pPr>
                          <w:pStyle w:val="TableParagraph"/>
                          <w:rPr>
                            <w:sz w:val="22"/>
                          </w:rPr>
                        </w:pPr>
                      </w:p>
                      <w:p>
                        <w:pPr>
                          <w:pStyle w:val="TableParagraph"/>
                          <w:rPr>
                            <w:sz w:val="22"/>
                          </w:rPr>
                        </w:pPr>
                      </w:p>
                      <w:p>
                        <w:pPr>
                          <w:pStyle w:val="TableParagraph"/>
                          <w:spacing w:before="6"/>
                          <w:rPr>
                            <w:sz w:val="15"/>
                          </w:rPr>
                        </w:pPr>
                      </w:p>
                      <w:p>
                        <w:pPr>
                          <w:pStyle w:val="TableParagraph"/>
                          <w:spacing w:line="218" w:lineRule="auto"/>
                          <w:ind w:left="56" w:right="36"/>
                          <w:jc w:val="both"/>
                          <w:rPr>
                            <w:sz w:val="18"/>
                          </w:rPr>
                        </w:pPr>
                        <w:r>
                          <w:rPr>
                            <w:color w:val="231F20"/>
                            <w:w w:val="105"/>
                            <w:sz w:val="18"/>
                          </w:rPr>
                          <w:t>急救措施</w:t>
                        </w:r>
                      </w:p>
                    </w:tc>
                    <w:tc>
                      <w:tcPr>
                        <w:tcW w:w="501" w:type="dxa"/>
                      </w:tcPr>
                      <w:p>
                        <w:pPr>
                          <w:pStyle w:val="TableParagraph"/>
                          <w:rPr>
                            <w:sz w:val="22"/>
                          </w:rPr>
                        </w:pPr>
                      </w:p>
                      <w:p>
                        <w:pPr>
                          <w:pStyle w:val="TableParagraph"/>
                          <w:rPr>
                            <w:sz w:val="22"/>
                          </w:rPr>
                        </w:pPr>
                      </w:p>
                      <w:p>
                        <w:pPr>
                          <w:pStyle w:val="TableParagraph"/>
                          <w:rPr>
                            <w:sz w:val="22"/>
                          </w:rPr>
                        </w:pPr>
                      </w:p>
                      <w:p>
                        <w:pPr>
                          <w:pStyle w:val="TableParagraph"/>
                          <w:spacing w:before="11"/>
                          <w:rPr>
                            <w:sz w:val="16"/>
                          </w:rPr>
                        </w:pPr>
                      </w:p>
                      <w:p>
                        <w:pPr>
                          <w:pStyle w:val="TableParagraph"/>
                          <w:ind w:left="54"/>
                          <w:rPr>
                            <w:sz w:val="18"/>
                          </w:rPr>
                        </w:pPr>
                        <w:r>
                          <w:rPr>
                            <w:color w:val="231F20"/>
                            <w:w w:val="105"/>
                            <w:sz w:val="18"/>
                          </w:rPr>
                          <w:t>……</w:t>
                        </w:r>
                      </w:p>
                    </w:tc>
                    <w:tc>
                      <w:tcPr>
                        <w:tcW w:w="276" w:type="dxa"/>
                      </w:tcPr>
                      <w:p>
                        <w:pPr>
                          <w:pStyle w:val="TableParagraph"/>
                          <w:rPr>
                            <w:sz w:val="22"/>
                          </w:rPr>
                        </w:pPr>
                      </w:p>
                      <w:p>
                        <w:pPr>
                          <w:pStyle w:val="TableParagraph"/>
                          <w:rPr>
                            <w:sz w:val="22"/>
                          </w:rPr>
                        </w:pPr>
                      </w:p>
                      <w:p>
                        <w:pPr>
                          <w:pStyle w:val="TableParagraph"/>
                          <w:spacing w:before="6"/>
                          <w:rPr>
                            <w:sz w:val="15"/>
                          </w:rPr>
                        </w:pPr>
                      </w:p>
                      <w:p>
                        <w:pPr>
                          <w:pStyle w:val="TableParagraph"/>
                          <w:spacing w:line="218" w:lineRule="auto"/>
                          <w:ind w:left="51" w:right="20"/>
                          <w:jc w:val="both"/>
                          <w:rPr>
                            <w:sz w:val="18"/>
                          </w:rPr>
                        </w:pPr>
                        <w:r>
                          <w:rPr>
                            <w:color w:val="231F20"/>
                            <w:w w:val="105"/>
                            <w:sz w:val="18"/>
                          </w:rPr>
                          <w:t>动物福利</w:t>
                        </w:r>
                      </w:p>
                    </w:tc>
                    <w:tc>
                      <w:tcPr>
                        <w:tcW w:w="284" w:type="dxa"/>
                      </w:tcPr>
                      <w:p>
                        <w:pPr>
                          <w:pStyle w:val="TableParagraph"/>
                          <w:rPr>
                            <w:sz w:val="22"/>
                          </w:rPr>
                        </w:pPr>
                      </w:p>
                      <w:p>
                        <w:pPr>
                          <w:pStyle w:val="TableParagraph"/>
                          <w:spacing w:before="1"/>
                          <w:rPr>
                            <w:sz w:val="21"/>
                          </w:rPr>
                        </w:pPr>
                      </w:p>
                      <w:p>
                        <w:pPr>
                          <w:pStyle w:val="TableParagraph"/>
                          <w:spacing w:line="218" w:lineRule="auto"/>
                          <w:ind w:left="53" w:right="26"/>
                          <w:jc w:val="both"/>
                          <w:rPr>
                            <w:sz w:val="18"/>
                          </w:rPr>
                        </w:pPr>
                        <w:r>
                          <w:rPr>
                            <w:color w:val="231F20"/>
                            <w:w w:val="105"/>
                            <w:sz w:val="18"/>
                          </w:rPr>
                          <w:t>传染病与防控</w:t>
                        </w:r>
                      </w:p>
                    </w:tc>
                  </w:tr>
                </w:tbl>
                <w:p>
                  <w:pPr>
                    <w:pStyle w:val="BodyText"/>
                  </w:pPr>
                </w:p>
              </w:txbxContent>
            </v:textbox>
          </v:shape>
        </w:pict>
      </w:r>
      <w:r>
        <w:pict>
          <v:shape id="_x0000_s1051" type="#_x0000_t202" style="width:83.2pt;height:135.2pt;margin-top:-141.7pt;margin-left:220.93pt;mso-position-horizontal-relative:page;position:absolute;z-index:251676672" filled="f" stroked="f">
            <v:textbox inset="0,0,0,0">
              <w:txbxContent>
                <w:tbl>
                  <w:tblPr>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84"/>
                    <w:gridCol w:w="297"/>
                    <w:gridCol w:w="501"/>
                    <w:gridCol w:w="276"/>
                    <w:gridCol w:w="284"/>
                  </w:tblGrid>
                  <w:tr>
                    <w:tblPrEx>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Ex>
                    <w:trPr>
                      <w:trHeight w:val="310"/>
                      <w:jc w:val="left"/>
                    </w:trPr>
                    <w:tc>
                      <w:tcPr>
                        <w:tcW w:w="1642" w:type="dxa"/>
                        <w:gridSpan w:val="5"/>
                        <w:tcBorders>
                          <w:top w:val="dashSmallGap" w:sz="6" w:space="0" w:color="231F20"/>
                          <w:left w:val="dashSmallGap" w:sz="6" w:space="0" w:color="231F20"/>
                          <w:right w:val="dashSmallGap" w:sz="6" w:space="0" w:color="231F20"/>
                        </w:tcBorders>
                      </w:tcPr>
                      <w:p>
                        <w:pPr>
                          <w:pStyle w:val="TableParagraph"/>
                          <w:spacing w:before="51"/>
                          <w:ind w:left="259"/>
                          <w:rPr>
                            <w:sz w:val="18"/>
                          </w:rPr>
                        </w:pPr>
                        <w:r>
                          <w:rPr>
                            <w:color w:val="231F20"/>
                            <w:w w:val="105"/>
                            <w:sz w:val="18"/>
                          </w:rPr>
                          <w:t>职业规划前瞻</w:t>
                        </w:r>
                      </w:p>
                    </w:tc>
                  </w:tr>
                  <w:tr>
                    <w:tblPrEx>
                      <w:tblW w:w="0" w:type="auto"/>
                      <w:jc w:val="left"/>
                      <w:tblInd w:w="7" w:type="dxa"/>
                      <w:tblLayout w:type="fixed"/>
                      <w:tblCellMar>
                        <w:top w:w="0" w:type="dxa"/>
                        <w:left w:w="0" w:type="dxa"/>
                        <w:bottom w:w="0" w:type="dxa"/>
                        <w:right w:w="0" w:type="dxa"/>
                      </w:tblCellMar>
                      <w:tblLook w:val="01E0"/>
                    </w:tblPrEx>
                    <w:trPr>
                      <w:trHeight w:val="2349"/>
                      <w:jc w:val="left"/>
                    </w:trPr>
                    <w:tc>
                      <w:tcPr>
                        <w:tcW w:w="284" w:type="dxa"/>
                      </w:tcPr>
                      <w:p>
                        <w:pPr>
                          <w:pStyle w:val="TableParagraph"/>
                          <w:rPr>
                            <w:sz w:val="22"/>
                          </w:rPr>
                        </w:pPr>
                      </w:p>
                      <w:p>
                        <w:pPr>
                          <w:pStyle w:val="TableParagraph"/>
                          <w:rPr>
                            <w:sz w:val="22"/>
                          </w:rPr>
                        </w:pPr>
                      </w:p>
                      <w:p>
                        <w:pPr>
                          <w:pStyle w:val="TableParagraph"/>
                          <w:spacing w:before="180" w:line="218" w:lineRule="auto"/>
                          <w:ind w:left="53" w:right="26"/>
                          <w:jc w:val="both"/>
                          <w:rPr>
                            <w:sz w:val="18"/>
                          </w:rPr>
                        </w:pPr>
                        <w:r>
                          <w:rPr>
                            <w:color w:val="231F20"/>
                            <w:w w:val="105"/>
                            <w:sz w:val="18"/>
                          </w:rPr>
                          <w:t>生物制药</w:t>
                        </w:r>
                      </w:p>
                    </w:tc>
                    <w:tc>
                      <w:tcPr>
                        <w:tcW w:w="297" w:type="dxa"/>
                      </w:tcPr>
                      <w:p>
                        <w:pPr>
                          <w:pStyle w:val="TableParagraph"/>
                          <w:rPr>
                            <w:sz w:val="22"/>
                          </w:rPr>
                        </w:pPr>
                      </w:p>
                      <w:p>
                        <w:pPr>
                          <w:pStyle w:val="TableParagraph"/>
                          <w:spacing w:before="3"/>
                          <w:rPr>
                            <w:sz w:val="29"/>
                          </w:rPr>
                        </w:pPr>
                      </w:p>
                      <w:p>
                        <w:pPr>
                          <w:pStyle w:val="TableParagraph"/>
                          <w:spacing w:line="218" w:lineRule="auto"/>
                          <w:ind w:left="56" w:right="36"/>
                          <w:jc w:val="both"/>
                          <w:rPr>
                            <w:sz w:val="18"/>
                          </w:rPr>
                        </w:pPr>
                        <w:r>
                          <w:rPr>
                            <w:color w:val="231F20"/>
                            <w:w w:val="105"/>
                            <w:sz w:val="18"/>
                          </w:rPr>
                          <w:t>海洋生物学</w:t>
                        </w:r>
                      </w:p>
                    </w:tc>
                    <w:tc>
                      <w:tcPr>
                        <w:tcW w:w="501" w:type="dxa"/>
                      </w:tcPr>
                      <w:p>
                        <w:pPr>
                          <w:pStyle w:val="TableParagraph"/>
                          <w:rPr>
                            <w:sz w:val="22"/>
                          </w:rPr>
                        </w:pPr>
                      </w:p>
                      <w:p>
                        <w:pPr>
                          <w:pStyle w:val="TableParagraph"/>
                          <w:rPr>
                            <w:sz w:val="22"/>
                          </w:rPr>
                        </w:pPr>
                      </w:p>
                      <w:p>
                        <w:pPr>
                          <w:pStyle w:val="TableParagraph"/>
                          <w:rPr>
                            <w:sz w:val="22"/>
                          </w:rPr>
                        </w:pPr>
                      </w:p>
                      <w:p>
                        <w:pPr>
                          <w:pStyle w:val="TableParagraph"/>
                          <w:spacing w:before="11"/>
                          <w:rPr>
                            <w:sz w:val="16"/>
                          </w:rPr>
                        </w:pPr>
                      </w:p>
                      <w:p>
                        <w:pPr>
                          <w:pStyle w:val="TableParagraph"/>
                          <w:ind w:left="54"/>
                          <w:rPr>
                            <w:sz w:val="18"/>
                          </w:rPr>
                        </w:pPr>
                        <w:r>
                          <w:rPr>
                            <w:color w:val="231F20"/>
                            <w:w w:val="105"/>
                            <w:sz w:val="18"/>
                          </w:rPr>
                          <w:t>……</w:t>
                        </w:r>
                      </w:p>
                    </w:tc>
                    <w:tc>
                      <w:tcPr>
                        <w:tcW w:w="276" w:type="dxa"/>
                      </w:tcPr>
                      <w:p>
                        <w:pPr>
                          <w:pStyle w:val="TableParagraph"/>
                          <w:rPr>
                            <w:sz w:val="22"/>
                          </w:rPr>
                        </w:pPr>
                      </w:p>
                      <w:p>
                        <w:pPr>
                          <w:pStyle w:val="TableParagraph"/>
                          <w:spacing w:before="165" w:line="218" w:lineRule="auto"/>
                          <w:ind w:left="51" w:right="20"/>
                          <w:jc w:val="both"/>
                          <w:rPr>
                            <w:sz w:val="18"/>
                          </w:rPr>
                        </w:pPr>
                        <w:r>
                          <w:rPr>
                            <w:color w:val="231F20"/>
                            <w:w w:val="105"/>
                            <w:sz w:val="18"/>
                          </w:rPr>
                          <w:t>食品安全与检疫</w:t>
                        </w:r>
                      </w:p>
                    </w:tc>
                    <w:tc>
                      <w:tcPr>
                        <w:tcW w:w="284" w:type="dxa"/>
                      </w:tcPr>
                      <w:p>
                        <w:pPr>
                          <w:pStyle w:val="TableParagraph"/>
                          <w:spacing w:before="12"/>
                          <w:rPr>
                            <w:sz w:val="27"/>
                          </w:rPr>
                        </w:pPr>
                      </w:p>
                      <w:p>
                        <w:pPr>
                          <w:pStyle w:val="TableParagraph"/>
                          <w:spacing w:line="218" w:lineRule="auto"/>
                          <w:ind w:left="53" w:right="26"/>
                          <w:jc w:val="both"/>
                          <w:rPr>
                            <w:sz w:val="18"/>
                          </w:rPr>
                        </w:pPr>
                        <w:r>
                          <w:rPr>
                            <w:color w:val="231F20"/>
                            <w:w w:val="105"/>
                            <w:sz w:val="18"/>
                          </w:rPr>
                          <w:t>园艺与景观生态学</w:t>
                        </w:r>
                      </w:p>
                    </w:tc>
                  </w:tr>
                </w:tbl>
                <w:p>
                  <w:pPr>
                    <w:pStyle w:val="BodyText"/>
                  </w:pPr>
                </w:p>
              </w:txbxContent>
            </v:textbox>
          </v:shape>
        </w:pict>
      </w:r>
      <w:r>
        <w:pict>
          <v:shape id="_x0000_s1052" type="#_x0000_t202" style="width:83.2pt;height:135.2pt;margin-top:-141.7pt;margin-left:327pt;mso-position-horizontal-relative:page;position:absolute;z-index:251677696" filled="f" stroked="f">
            <v:textbox inset="0,0,0,0">
              <w:txbxContent>
                <w:tbl>
                  <w:tblPr>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
                  <w:tblGrid>
                    <w:gridCol w:w="284"/>
                    <w:gridCol w:w="297"/>
                    <w:gridCol w:w="501"/>
                    <w:gridCol w:w="276"/>
                    <w:gridCol w:w="284"/>
                  </w:tblGrid>
                  <w:tr>
                    <w:tblPrEx>
                      <w:tblW w:w="0" w:type="auto"/>
                      <w:jc w:val="left"/>
                      <w:tblInd w:w="7"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CellMar>
                        <w:top w:w="0" w:type="dxa"/>
                        <w:left w:w="0" w:type="dxa"/>
                        <w:bottom w:w="0" w:type="dxa"/>
                        <w:right w:w="0" w:type="dxa"/>
                      </w:tblCellMar>
                      <w:tblLook w:val="01E0"/>
                    </w:tblPrEx>
                    <w:trPr>
                      <w:trHeight w:val="310"/>
                      <w:jc w:val="left"/>
                    </w:trPr>
                    <w:tc>
                      <w:tcPr>
                        <w:tcW w:w="1642" w:type="dxa"/>
                        <w:gridSpan w:val="5"/>
                        <w:tcBorders>
                          <w:top w:val="dashSmallGap" w:sz="6" w:space="0" w:color="231F20"/>
                          <w:left w:val="dashSmallGap" w:sz="6" w:space="0" w:color="231F20"/>
                          <w:right w:val="dashSmallGap" w:sz="6" w:space="0" w:color="231F20"/>
                        </w:tcBorders>
                      </w:tcPr>
                      <w:p>
                        <w:pPr>
                          <w:pStyle w:val="TableParagraph"/>
                          <w:spacing w:before="52"/>
                          <w:ind w:left="259"/>
                          <w:rPr>
                            <w:sz w:val="18"/>
                          </w:rPr>
                        </w:pPr>
                        <w:r>
                          <w:rPr>
                            <w:color w:val="231F20"/>
                            <w:w w:val="105"/>
                            <w:sz w:val="18"/>
                          </w:rPr>
                          <w:t>学业发展基础</w:t>
                        </w:r>
                      </w:p>
                    </w:tc>
                  </w:tr>
                  <w:tr>
                    <w:tblPrEx>
                      <w:tblW w:w="0" w:type="auto"/>
                      <w:jc w:val="left"/>
                      <w:tblInd w:w="7" w:type="dxa"/>
                      <w:tblLayout w:type="fixed"/>
                      <w:tblCellMar>
                        <w:top w:w="0" w:type="dxa"/>
                        <w:left w:w="0" w:type="dxa"/>
                        <w:bottom w:w="0" w:type="dxa"/>
                        <w:right w:w="0" w:type="dxa"/>
                      </w:tblCellMar>
                      <w:tblLook w:val="01E0"/>
                    </w:tblPrEx>
                    <w:trPr>
                      <w:trHeight w:val="2349"/>
                      <w:jc w:val="left"/>
                    </w:trPr>
                    <w:tc>
                      <w:tcPr>
                        <w:tcW w:w="284" w:type="dxa"/>
                      </w:tcPr>
                      <w:p>
                        <w:pPr>
                          <w:pStyle w:val="TableParagraph"/>
                          <w:spacing w:before="8"/>
                          <w:rPr>
                            <w:sz w:val="26"/>
                          </w:rPr>
                        </w:pPr>
                      </w:p>
                      <w:p>
                        <w:pPr>
                          <w:pStyle w:val="TableParagraph"/>
                          <w:spacing w:line="218" w:lineRule="auto"/>
                          <w:ind w:left="53" w:right="26"/>
                          <w:jc w:val="both"/>
                          <w:rPr>
                            <w:sz w:val="18"/>
                          </w:rPr>
                        </w:pPr>
                        <w:r>
                          <w:rPr>
                            <w:color w:val="231F20"/>
                            <w:w w:val="105"/>
                            <w:sz w:val="18"/>
                          </w:rPr>
                          <w:t>细胞与分子生物学</w:t>
                        </w:r>
                      </w:p>
                    </w:tc>
                    <w:tc>
                      <w:tcPr>
                        <w:tcW w:w="297" w:type="dxa"/>
                      </w:tcPr>
                      <w:p>
                        <w:pPr>
                          <w:pStyle w:val="TableParagraph"/>
                          <w:spacing w:line="218" w:lineRule="auto"/>
                          <w:ind w:left="56" w:right="36"/>
                          <w:jc w:val="both"/>
                          <w:rPr>
                            <w:sz w:val="18"/>
                          </w:rPr>
                        </w:pPr>
                        <w:r>
                          <w:rPr>
                            <w:color w:val="231F20"/>
                            <w:w w:val="105"/>
                            <w:sz w:val="18"/>
                          </w:rPr>
                          <w:t>生物信息学与人类基因组</w:t>
                        </w:r>
                      </w:p>
                    </w:tc>
                    <w:tc>
                      <w:tcPr>
                        <w:tcW w:w="501" w:type="dxa"/>
                      </w:tcPr>
                      <w:p>
                        <w:pPr>
                          <w:pStyle w:val="TableParagraph"/>
                          <w:rPr>
                            <w:sz w:val="22"/>
                          </w:rPr>
                        </w:pPr>
                      </w:p>
                      <w:p>
                        <w:pPr>
                          <w:pStyle w:val="TableParagraph"/>
                          <w:rPr>
                            <w:sz w:val="22"/>
                          </w:rPr>
                        </w:pPr>
                      </w:p>
                      <w:p>
                        <w:pPr>
                          <w:pStyle w:val="TableParagraph"/>
                          <w:rPr>
                            <w:sz w:val="22"/>
                          </w:rPr>
                        </w:pPr>
                      </w:p>
                      <w:p>
                        <w:pPr>
                          <w:pStyle w:val="TableParagraph"/>
                          <w:spacing w:before="11"/>
                          <w:rPr>
                            <w:sz w:val="16"/>
                          </w:rPr>
                        </w:pPr>
                      </w:p>
                      <w:p>
                        <w:pPr>
                          <w:pStyle w:val="TableParagraph"/>
                          <w:ind w:left="54"/>
                          <w:rPr>
                            <w:sz w:val="18"/>
                          </w:rPr>
                        </w:pPr>
                        <w:r>
                          <w:rPr>
                            <w:color w:val="231F20"/>
                            <w:w w:val="105"/>
                            <w:sz w:val="18"/>
                          </w:rPr>
                          <w:t>……</w:t>
                        </w:r>
                      </w:p>
                    </w:tc>
                    <w:tc>
                      <w:tcPr>
                        <w:tcW w:w="276" w:type="dxa"/>
                      </w:tcPr>
                      <w:p>
                        <w:pPr>
                          <w:pStyle w:val="TableParagraph"/>
                          <w:rPr>
                            <w:sz w:val="22"/>
                          </w:rPr>
                        </w:pPr>
                      </w:p>
                      <w:p>
                        <w:pPr>
                          <w:pStyle w:val="TableParagraph"/>
                          <w:spacing w:before="1"/>
                          <w:rPr>
                            <w:sz w:val="21"/>
                          </w:rPr>
                        </w:pPr>
                      </w:p>
                      <w:p>
                        <w:pPr>
                          <w:pStyle w:val="TableParagraph"/>
                          <w:spacing w:line="218" w:lineRule="auto"/>
                          <w:ind w:left="51" w:right="20"/>
                          <w:jc w:val="both"/>
                          <w:rPr>
                            <w:sz w:val="18"/>
                          </w:rPr>
                        </w:pPr>
                        <w:r>
                          <w:rPr>
                            <w:color w:val="231F20"/>
                            <w:w w:val="105"/>
                            <w:sz w:val="18"/>
                          </w:rPr>
                          <w:t>干细胞与应用</w:t>
                        </w:r>
                      </w:p>
                    </w:tc>
                    <w:tc>
                      <w:tcPr>
                        <w:tcW w:w="284" w:type="dxa"/>
                      </w:tcPr>
                      <w:p>
                        <w:pPr>
                          <w:pStyle w:val="TableParagraph"/>
                          <w:rPr>
                            <w:sz w:val="22"/>
                          </w:rPr>
                        </w:pPr>
                      </w:p>
                      <w:p>
                        <w:pPr>
                          <w:pStyle w:val="TableParagraph"/>
                          <w:spacing w:before="1"/>
                          <w:rPr>
                            <w:sz w:val="21"/>
                          </w:rPr>
                        </w:pPr>
                      </w:p>
                      <w:p>
                        <w:pPr>
                          <w:pStyle w:val="TableParagraph"/>
                          <w:spacing w:line="218" w:lineRule="auto"/>
                          <w:ind w:left="53" w:right="26"/>
                          <w:jc w:val="both"/>
                          <w:rPr>
                            <w:sz w:val="18"/>
                          </w:rPr>
                        </w:pPr>
                        <w:r>
                          <w:rPr>
                            <w:color w:val="231F20"/>
                            <w:w w:val="105"/>
                            <w:sz w:val="18"/>
                          </w:rPr>
                          <w:t>植物组织培养</w:t>
                        </w:r>
                      </w:p>
                    </w:tc>
                  </w:tr>
                </w:tbl>
                <w:p>
                  <w:pPr>
                    <w:pStyle w:val="BodyText"/>
                  </w:pPr>
                </w:p>
              </w:txbxContent>
            </v:textbox>
          </v:shape>
        </w:pict>
      </w:r>
      <w:r>
        <w:rPr>
          <w:color w:val="231F20"/>
          <w:sz w:val="20"/>
        </w:rPr>
        <w:t>图</w:t>
      </w:r>
      <w:r>
        <w:rPr>
          <w:rFonts w:ascii="Times New Roman" w:eastAsia="Times New Roman"/>
          <w:color w:val="231F20"/>
          <w:sz w:val="20"/>
        </w:rPr>
        <w:t xml:space="preserve">1    </w:t>
      </w:r>
      <w:r>
        <w:rPr>
          <w:color w:val="231F20"/>
          <w:sz w:val="20"/>
        </w:rPr>
        <w:t>高中生物学课程结构图</w:t>
      </w:r>
    </w:p>
    <w:p>
      <w:pPr>
        <w:pStyle w:val="BodyText"/>
        <w:rPr>
          <w:sz w:val="22"/>
        </w:rPr>
      </w:pPr>
    </w:p>
    <w:p>
      <w:pPr>
        <w:pStyle w:val="BodyText"/>
        <w:rPr>
          <w:sz w:val="22"/>
        </w:rPr>
      </w:pPr>
    </w:p>
    <w:p>
      <w:pPr>
        <w:pStyle w:val="BodyText"/>
      </w:pPr>
    </w:p>
    <w:p>
      <w:pPr>
        <w:pStyle w:val="Heading2"/>
      </w:pPr>
      <w:r>
        <w:rPr>
          <w:color w:val="231F20"/>
        </w:rPr>
        <w:t>（三）学分与选课</w:t>
      </w:r>
    </w:p>
    <w:p>
      <w:pPr>
        <w:pStyle w:val="BodyText"/>
        <w:spacing w:before="2"/>
        <w:rPr>
          <w:sz w:val="39"/>
        </w:rPr>
      </w:pPr>
    </w:p>
    <w:p>
      <w:pPr>
        <w:pStyle w:val="BodyText"/>
        <w:ind w:right="235"/>
        <w:jc w:val="right"/>
      </w:pPr>
      <w:r>
        <w:rPr>
          <w:color w:val="231F20"/>
          <w:spacing w:val="7"/>
        </w:rPr>
        <w:t>本课程的必修学分共计</w:t>
      </w:r>
      <w:r>
        <w:rPr>
          <w:rFonts w:ascii="Times New Roman" w:eastAsia="Times New Roman"/>
          <w:color w:val="231F20"/>
        </w:rPr>
        <w:t>4</w:t>
      </w:r>
      <w:r>
        <w:rPr>
          <w:rFonts w:ascii="Times New Roman" w:eastAsia="Times New Roman"/>
          <w:color w:val="231F20"/>
          <w:spacing w:val="-29"/>
        </w:rPr>
        <w:t xml:space="preserve"> </w:t>
      </w:r>
      <w:r>
        <w:rPr>
          <w:color w:val="231F20"/>
          <w:spacing w:val="5"/>
        </w:rPr>
        <w:t>学分，每个必修模块为</w:t>
      </w:r>
      <w:r>
        <w:rPr>
          <w:rFonts w:ascii="Times New Roman" w:eastAsia="Times New Roman"/>
          <w:color w:val="231F20"/>
        </w:rPr>
        <w:t>2</w:t>
      </w:r>
      <w:r>
        <w:rPr>
          <w:rFonts w:ascii="Times New Roman" w:eastAsia="Times New Roman"/>
          <w:color w:val="231F20"/>
          <w:spacing w:val="-29"/>
        </w:rPr>
        <w:t xml:space="preserve"> </w:t>
      </w:r>
      <w:r>
        <w:rPr>
          <w:color w:val="231F20"/>
          <w:spacing w:val="3"/>
        </w:rPr>
        <w:t>学分，每个学</w:t>
      </w:r>
    </w:p>
    <w:p>
      <w:pPr>
        <w:pStyle w:val="BodyText"/>
        <w:spacing w:before="113"/>
        <w:ind w:right="239"/>
        <w:jc w:val="right"/>
        <w:rPr>
          <w:rFonts w:ascii="Times New Roman" w:eastAsia="Times New Roman"/>
        </w:rPr>
      </w:pPr>
      <w:r>
        <w:rPr>
          <w:color w:val="231F20"/>
          <w:spacing w:val="13"/>
        </w:rPr>
        <w:t>分的教学需</w:t>
      </w:r>
      <w:r>
        <w:rPr>
          <w:rFonts w:ascii="Times New Roman" w:eastAsia="Times New Roman"/>
          <w:color w:val="231F20"/>
        </w:rPr>
        <w:t>18</w:t>
      </w:r>
      <w:r>
        <w:rPr>
          <w:rFonts w:ascii="Times New Roman" w:eastAsia="Times New Roman"/>
          <w:color w:val="231F20"/>
          <w:spacing w:val="-27"/>
        </w:rPr>
        <w:t xml:space="preserve"> </w:t>
      </w:r>
      <w:r>
        <w:rPr>
          <w:color w:val="231F20"/>
          <w:spacing w:val="8"/>
        </w:rPr>
        <w:t>学时。每个学生必须完成</w:t>
      </w:r>
      <w:r>
        <w:rPr>
          <w:rFonts w:ascii="Times New Roman" w:eastAsia="Times New Roman"/>
          <w:color w:val="231F20"/>
        </w:rPr>
        <w:t>2</w:t>
      </w:r>
      <w:r>
        <w:rPr>
          <w:rFonts w:ascii="Times New Roman" w:eastAsia="Times New Roman"/>
          <w:color w:val="231F20"/>
          <w:spacing w:val="-27"/>
        </w:rPr>
        <w:t xml:space="preserve"> </w:t>
      </w:r>
      <w:r>
        <w:rPr>
          <w:color w:val="231F20"/>
          <w:spacing w:val="9"/>
        </w:rPr>
        <w:t>个必修模块的学习，共</w:t>
      </w:r>
      <w:r>
        <w:rPr>
          <w:rFonts w:ascii="Times New Roman" w:eastAsia="Times New Roman"/>
          <w:color w:val="231F20"/>
        </w:rPr>
        <w:t>72</w:t>
      </w:r>
    </w:p>
    <w:p>
      <w:pPr>
        <w:pStyle w:val="BodyText"/>
        <w:spacing w:before="114"/>
        <w:ind w:left="390"/>
      </w:pPr>
      <w:r>
        <w:rPr>
          <w:color w:val="231F20"/>
        </w:rPr>
        <w:t>学时，每周</w:t>
      </w:r>
      <w:r>
        <w:rPr>
          <w:rFonts w:ascii="Times New Roman" w:eastAsia="Times New Roman"/>
          <w:color w:val="231F20"/>
        </w:rPr>
        <w:t>2</w:t>
      </w:r>
      <w:r>
        <w:rPr>
          <w:color w:val="231F20"/>
        </w:rPr>
        <w:t>~</w:t>
      </w:r>
      <w:r>
        <w:rPr>
          <w:rFonts w:ascii="Times New Roman" w:eastAsia="Times New Roman"/>
          <w:color w:val="231F20"/>
        </w:rPr>
        <w:t xml:space="preserve">4 </w:t>
      </w:r>
      <w:r>
        <w:rPr>
          <w:color w:val="231F20"/>
        </w:rPr>
        <w:t>学时，建议在高一年级开设。</w:t>
      </w:r>
    </w:p>
    <w:p>
      <w:pPr>
        <w:pStyle w:val="BodyText"/>
        <w:spacing w:before="111" w:line="328" w:lineRule="auto"/>
        <w:ind w:left="390" w:right="235" w:firstLine="480"/>
      </w:pPr>
      <w:r>
        <w:rPr>
          <w:color w:val="231F20"/>
          <w:spacing w:val="-1"/>
        </w:rPr>
        <w:t>学生在修满本课程必修学分的基础上，可根据兴趣和志向学习选</w:t>
      </w:r>
      <w:r>
        <w:rPr>
          <w:color w:val="231F20"/>
          <w:spacing w:val="1"/>
        </w:rPr>
        <w:t>择性必修和选修课程。选择性必修课程每个模块为</w:t>
      </w:r>
      <w:r>
        <w:rPr>
          <w:rFonts w:ascii="Times New Roman" w:eastAsia="Times New Roman"/>
          <w:color w:val="231F20"/>
        </w:rPr>
        <w:t>2</w:t>
      </w:r>
      <w:r>
        <w:rPr>
          <w:rFonts w:ascii="Times New Roman" w:eastAsia="Times New Roman"/>
          <w:color w:val="231F20"/>
          <w:spacing w:val="22"/>
        </w:rPr>
        <w:t xml:space="preserve"> </w:t>
      </w:r>
      <w:r>
        <w:rPr>
          <w:color w:val="231F20"/>
        </w:rPr>
        <w:t>学分，选修课程</w:t>
      </w:r>
    </w:p>
    <w:p>
      <w:pPr>
        <w:pStyle w:val="BodyText"/>
        <w:spacing w:line="305" w:lineRule="exact"/>
        <w:ind w:left="391"/>
      </w:pPr>
      <w:r>
        <w:rPr>
          <w:color w:val="231F20"/>
          <w:spacing w:val="6"/>
        </w:rPr>
        <w:t>每个模块为</w:t>
      </w:r>
      <w:r>
        <w:rPr>
          <w:rFonts w:ascii="Times New Roman" w:eastAsia="Times New Roman"/>
          <w:color w:val="231F20"/>
        </w:rPr>
        <w:t>1</w:t>
      </w:r>
      <w:r>
        <w:rPr>
          <w:rFonts w:ascii="Times New Roman" w:eastAsia="Times New Roman"/>
          <w:color w:val="231F20"/>
          <w:spacing w:val="-30"/>
        </w:rPr>
        <w:t xml:space="preserve"> </w:t>
      </w:r>
      <w:r>
        <w:rPr>
          <w:color w:val="231F20"/>
          <w:spacing w:val="2"/>
        </w:rPr>
        <w:t>学分，每个学分的教学需</w:t>
      </w:r>
      <w:r>
        <w:rPr>
          <w:rFonts w:ascii="Times New Roman" w:eastAsia="Times New Roman"/>
          <w:color w:val="231F20"/>
        </w:rPr>
        <w:t>18</w:t>
      </w:r>
      <w:r>
        <w:rPr>
          <w:rFonts w:ascii="Times New Roman" w:eastAsia="Times New Roman"/>
          <w:color w:val="231F20"/>
          <w:spacing w:val="-30"/>
        </w:rPr>
        <w:t xml:space="preserve"> </w:t>
      </w:r>
      <w:r>
        <w:rPr>
          <w:color w:val="231F20"/>
        </w:rPr>
        <w:t>学时。学生在完成了必修课</w:t>
      </w:r>
    </w:p>
    <w:p>
      <w:pPr>
        <w:spacing w:after="0" w:line="305" w:lineRule="exact"/>
        <w:sectPr>
          <w:headerReference w:type="even" r:id="rId36"/>
          <w:pgSz w:w="10780" w:h="15090"/>
          <w:pgMar w:top="940" w:right="1460" w:bottom="1400" w:left="1480" w:header="0" w:footer="1217"/>
          <w:cols w:space="708"/>
        </w:sectPr>
      </w:pPr>
    </w:p>
    <w:p>
      <w:pPr>
        <w:pStyle w:val="BodyText"/>
        <w:rPr>
          <w:sz w:val="20"/>
        </w:rPr>
      </w:pPr>
    </w:p>
    <w:p>
      <w:pPr>
        <w:pStyle w:val="BodyText"/>
        <w:spacing w:before="203" w:line="328" w:lineRule="auto"/>
        <w:ind w:left="220" w:right="397"/>
        <w:jc w:val="both"/>
      </w:pPr>
      <w:r>
        <w:rPr>
          <w:color w:val="231F20"/>
        </w:rPr>
        <w:t>程的学习后，可以直接学习选择性必修或选修课程，也可以不再选修本学科课程。选择生物学纳入高校招生录取总成绩的学生，应完成选择性必修所有模块的学习。选择性必修和选修课程可以同时开设供学生选择，对于选修课程中“学业发展基础”类模块，教师可以提出选课的顺序或条件。学生可从选修模块中选修不超过</w:t>
      </w:r>
      <w:r>
        <w:rPr>
          <w:rFonts w:ascii="Times New Roman" w:eastAsia="Times New Roman" w:hAnsi="Times New Roman"/>
          <w:color w:val="231F20"/>
        </w:rPr>
        <w:t xml:space="preserve">4 </w:t>
      </w:r>
      <w:r>
        <w:rPr>
          <w:color w:val="231F20"/>
        </w:rPr>
        <w:t>学分的课程。</w:t>
      </w:r>
    </w:p>
    <w:p>
      <w:pPr>
        <w:spacing w:after="0" w:line="328" w:lineRule="auto"/>
        <w:jc w:val="both"/>
        <w:sectPr>
          <w:headerReference w:type="even" r:id="rId37"/>
          <w:footerReference w:type="even" r:id="rId38"/>
          <w:footerReference w:type="default" r:id="rId39"/>
          <w:pgSz w:w="10780" w:h="15090"/>
          <w:pgMar w:top="1260" w:right="1460" w:bottom="1400" w:left="1480" w:header="989" w:footer="1217"/>
          <w:pgNumType w:start="10"/>
          <w:cols w:space="70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pPr>
      <w:r>
        <w:rPr>
          <w:color w:val="231F20"/>
        </w:rPr>
        <w:t>四、课程内容</w:t>
      </w:r>
    </w:p>
    <w:p>
      <w:pPr>
        <w:pStyle w:val="BodyText"/>
        <w:rPr>
          <w:sz w:val="56"/>
        </w:rPr>
      </w:pPr>
    </w:p>
    <w:p>
      <w:pPr>
        <w:pStyle w:val="BodyText"/>
        <w:rPr>
          <w:sz w:val="56"/>
        </w:rPr>
      </w:pPr>
    </w:p>
    <w:p>
      <w:pPr>
        <w:pStyle w:val="BodyText"/>
        <w:spacing w:before="4"/>
        <w:rPr>
          <w:sz w:val="62"/>
        </w:rPr>
      </w:pPr>
    </w:p>
    <w:p>
      <w:pPr>
        <w:pStyle w:val="Heading2"/>
      </w:pPr>
      <w:r>
        <w:rPr>
          <w:color w:val="231F20"/>
        </w:rPr>
        <w:t>（一）必修课程</w:t>
      </w:r>
    </w:p>
    <w:p>
      <w:pPr>
        <w:pStyle w:val="BodyText"/>
        <w:spacing w:before="2"/>
        <w:rPr>
          <w:sz w:val="39"/>
        </w:rPr>
      </w:pPr>
    </w:p>
    <w:p>
      <w:pPr>
        <w:pStyle w:val="BodyText"/>
        <w:spacing w:line="328" w:lineRule="auto"/>
        <w:ind w:left="390" w:right="238" w:firstLine="480"/>
        <w:jc w:val="both"/>
      </w:pPr>
      <w:r>
        <w:rPr>
          <w:color w:val="231F20"/>
        </w:rPr>
        <w:t>必修课程是现代生物学的核心内容，对于提高全体学生的生物学学科核心素养具有不可或缺的作用。必修课程是学习选择性必修和选修课程的基础。</w:t>
      </w:r>
    </w:p>
    <w:p>
      <w:pPr>
        <w:pStyle w:val="BodyText"/>
        <w:spacing w:line="328" w:lineRule="auto"/>
        <w:ind w:left="390" w:right="118" w:firstLine="480"/>
      </w:pPr>
      <w:r>
        <w:pict>
          <v:shape id="_x0000_s1053" style="width:124.75pt;height:18.8pt;margin-top:75.71pt;margin-left:118.62pt;mso-position-horizontal-relative:page;position:absolute;z-index:-251652096" coordorigin="2372,1514" coordsize="2495,376" path="m4695,1514l2545,1514,2445,1517,2394,1534,2375,1582,2372,1674,2372,1729,2375,1822,2394,1869,2445,1887,2545,1889,4695,1889,4795,1887,4846,1869,4865,1822,4867,1729,4867,1674,4865,1582,4846,1534,4795,1517,4695,1514xe" filled="t" fillcolor="#e6e7e8" stroked="f">
            <v:fill type="solid"/>
            <v:path arrowok="t"/>
          </v:shape>
        </w:pict>
      </w:r>
      <w:r>
        <w:rPr>
          <w:color w:val="231F20"/>
        </w:rPr>
        <w:t>必修课程面向全体高中学生，选择了生物学最基本的重要概念。为了让学生更好地理解与掌握教学内容，教学中要高度重视学生的实践环节，力求为学生提供更多的动手实践机会。</w:t>
      </w:r>
    </w:p>
    <w:p>
      <w:pPr>
        <w:pStyle w:val="BodyText"/>
        <w:spacing w:before="5"/>
        <w:rPr>
          <w:sz w:val="18"/>
        </w:rPr>
      </w:pPr>
    </w:p>
    <w:tbl>
      <w:tblPr>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493"/>
        <w:gridCol w:w="2492"/>
        <w:gridCol w:w="4204"/>
      </w:tblGrid>
      <w:tr>
        <w:tblPrEx>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Ex>
        <w:trPr>
          <w:trHeight w:val="162"/>
          <w:jc w:val="left"/>
        </w:trPr>
        <w:tc>
          <w:tcPr>
            <w:tcW w:w="493" w:type="dxa"/>
            <w:tcBorders>
              <w:top w:val="nil"/>
              <w:left w:val="nil"/>
              <w:bottom w:val="dotted" w:sz="8" w:space="0" w:color="231F20"/>
            </w:tcBorders>
          </w:tcPr>
          <w:p>
            <w:pPr>
              <w:pStyle w:val="TableParagraph"/>
              <w:rPr>
                <w:rFonts w:ascii="Times New Roman"/>
                <w:sz w:val="10"/>
              </w:rPr>
            </w:pPr>
          </w:p>
        </w:tc>
        <w:tc>
          <w:tcPr>
            <w:tcW w:w="2492" w:type="dxa"/>
            <w:tcBorders>
              <w:bottom w:val="dotted" w:sz="8" w:space="0" w:color="231F20"/>
            </w:tcBorders>
          </w:tcPr>
          <w:p>
            <w:pPr>
              <w:pStyle w:val="TableParagraph"/>
              <w:tabs>
                <w:tab w:val="left" w:pos="1047"/>
              </w:tabs>
              <w:spacing w:line="143" w:lineRule="exact"/>
              <w:ind w:left="172"/>
              <w:rPr>
                <w:sz w:val="26"/>
              </w:rPr>
            </w:pPr>
            <w:r>
              <w:rPr>
                <w:color w:val="231F20"/>
                <w:spacing w:val="-16"/>
                <w:sz w:val="26"/>
              </w:rPr>
              <w:t>模</w:t>
            </w:r>
            <w:r>
              <w:rPr>
                <w:color w:val="231F20"/>
                <w:spacing w:val="12"/>
                <w:sz w:val="26"/>
              </w:rPr>
              <w:t>块</w:t>
            </w:r>
            <w:r>
              <w:rPr>
                <w:rFonts w:ascii="Times New Roman" w:eastAsia="Times New Roman"/>
                <w:color w:val="231F20"/>
                <w:sz w:val="26"/>
              </w:rPr>
              <w:t>1</w:t>
              <w:tab/>
            </w:r>
            <w:r>
              <w:rPr>
                <w:color w:val="231F20"/>
                <w:spacing w:val="-16"/>
                <w:sz w:val="26"/>
              </w:rPr>
              <w:t>分子与细胞</w:t>
            </w:r>
          </w:p>
        </w:tc>
        <w:tc>
          <w:tcPr>
            <w:tcW w:w="4204" w:type="dxa"/>
            <w:tcBorders>
              <w:top w:val="nil"/>
              <w:bottom w:val="dotted" w:sz="8" w:space="0" w:color="231F20"/>
              <w:right w:val="nil"/>
            </w:tcBorders>
          </w:tcPr>
          <w:p>
            <w:pPr>
              <w:pStyle w:val="TableParagraph"/>
              <w:rPr>
                <w:rFonts w:ascii="Times New Roman"/>
                <w:sz w:val="10"/>
              </w:rPr>
            </w:pPr>
          </w:p>
        </w:tc>
      </w:tr>
      <w:tr>
        <w:tblPrEx>
          <w:tblW w:w="0" w:type="auto"/>
          <w:jc w:val="left"/>
          <w:tblInd w:w="408" w:type="dxa"/>
          <w:tblLayout w:type="fixed"/>
          <w:tblCellMar>
            <w:top w:w="0" w:type="dxa"/>
            <w:left w:w="0" w:type="dxa"/>
            <w:bottom w:w="0" w:type="dxa"/>
            <w:right w:w="0" w:type="dxa"/>
          </w:tblCellMar>
          <w:tblLook w:val="01E0"/>
        </w:tblPrEx>
        <w:trPr>
          <w:trHeight w:val="162"/>
          <w:jc w:val="left"/>
        </w:trPr>
        <w:tc>
          <w:tcPr>
            <w:tcW w:w="493" w:type="dxa"/>
            <w:tcBorders>
              <w:top w:val="dotted" w:sz="8" w:space="0" w:color="231F20"/>
              <w:left w:val="nil"/>
              <w:bottom w:val="nil"/>
            </w:tcBorders>
          </w:tcPr>
          <w:p>
            <w:pPr>
              <w:pStyle w:val="TableParagraph"/>
              <w:rPr>
                <w:rFonts w:ascii="Times New Roman"/>
                <w:sz w:val="10"/>
              </w:rPr>
            </w:pPr>
          </w:p>
        </w:tc>
        <w:tc>
          <w:tcPr>
            <w:tcW w:w="2492" w:type="dxa"/>
            <w:tcBorders>
              <w:top w:val="dotted" w:sz="8" w:space="0" w:color="231F20"/>
            </w:tcBorders>
          </w:tcPr>
          <w:p>
            <w:pPr>
              <w:pStyle w:val="TableParagraph"/>
              <w:rPr>
                <w:rFonts w:ascii="Times New Roman"/>
                <w:sz w:val="10"/>
              </w:rPr>
            </w:pPr>
          </w:p>
        </w:tc>
        <w:tc>
          <w:tcPr>
            <w:tcW w:w="4204" w:type="dxa"/>
            <w:tcBorders>
              <w:top w:val="dotted" w:sz="8" w:space="0" w:color="231F20"/>
              <w:bottom w:val="nil"/>
              <w:right w:val="nil"/>
            </w:tcBorders>
          </w:tcPr>
          <w:p>
            <w:pPr>
              <w:pStyle w:val="TableParagraph"/>
              <w:rPr>
                <w:rFonts w:ascii="Times New Roman"/>
                <w:sz w:val="10"/>
              </w:rPr>
            </w:pPr>
          </w:p>
        </w:tc>
      </w:tr>
    </w:tbl>
    <w:p>
      <w:pPr>
        <w:pStyle w:val="Heading4"/>
        <w:spacing w:before="198" w:line="288" w:lineRule="auto"/>
        <w:ind w:right="461"/>
        <w:jc w:val="left"/>
      </w:pPr>
      <w:r>
        <w:rPr>
          <w:color w:val="231F20"/>
          <w:spacing w:val="-16"/>
        </w:rPr>
        <w:t>本模块包括细胞的分子组成、细胞的结构、细胞的代谢、</w:t>
      </w:r>
      <w:r>
        <w:rPr>
          <w:color w:val="231F20"/>
          <w:spacing w:val="-13"/>
        </w:rPr>
        <w:t>细胞的增殖以及细胞的分化、衰老和死亡等内容。</w:t>
      </w:r>
    </w:p>
    <w:p>
      <w:pPr>
        <w:spacing w:before="0" w:line="288" w:lineRule="auto"/>
        <w:ind w:left="731" w:right="587" w:firstLine="479"/>
        <w:jc w:val="both"/>
        <w:rPr>
          <w:sz w:val="26"/>
        </w:rPr>
      </w:pPr>
      <w:r>
        <w:rPr>
          <w:color w:val="231F20"/>
          <w:spacing w:val="-10"/>
          <w:sz w:val="26"/>
        </w:rPr>
        <w:t>细胞是生物体结构与生命活动的基本单位。细胞生物学</w:t>
      </w:r>
      <w:r>
        <w:rPr>
          <w:color w:val="231F20"/>
          <w:spacing w:val="-11"/>
          <w:sz w:val="26"/>
        </w:rPr>
        <w:t>是生命科学的重要基础学科，分子生物学的发展促使细胞生</w:t>
      </w:r>
      <w:r>
        <w:rPr>
          <w:color w:val="231F20"/>
          <w:spacing w:val="-13"/>
          <w:sz w:val="26"/>
        </w:rPr>
        <w:t>物学的研究进入了分子水平。</w:t>
      </w:r>
    </w:p>
    <w:p>
      <w:pPr>
        <w:spacing w:before="0" w:line="288" w:lineRule="auto"/>
        <w:ind w:left="731" w:right="586" w:firstLine="479"/>
        <w:jc w:val="both"/>
        <w:rPr>
          <w:sz w:val="26"/>
        </w:rPr>
      </w:pPr>
      <w:r>
        <w:rPr>
          <w:color w:val="231F20"/>
          <w:spacing w:val="-10"/>
          <w:sz w:val="26"/>
        </w:rPr>
        <w:t>本模块选取了细胞生物学方面最基本的知识，是学习其</w:t>
      </w:r>
      <w:r>
        <w:rPr>
          <w:color w:val="231F20"/>
          <w:spacing w:val="-11"/>
          <w:sz w:val="26"/>
        </w:rPr>
        <w:t>他模块的基础。它还反映了细胞生物学研究的新进展及相关</w:t>
      </w:r>
      <w:r>
        <w:rPr>
          <w:color w:val="231F20"/>
          <w:spacing w:val="-13"/>
          <w:sz w:val="26"/>
        </w:rPr>
        <w:t>的实际应用。通过本模块的学习，学生将在微观层面上，更</w:t>
      </w:r>
    </w:p>
    <w:p>
      <w:pPr>
        <w:spacing w:after="0" w:line="288" w:lineRule="auto"/>
        <w:jc w:val="both"/>
        <w:rPr>
          <w:sz w:val="26"/>
        </w:rPr>
        <w:sectPr>
          <w:headerReference w:type="even" r:id="rId40"/>
          <w:pgSz w:w="10780" w:h="15090"/>
          <w:pgMar w:top="1420" w:right="1460" w:bottom="1400" w:left="1480" w:header="0" w:footer="1217"/>
          <w:cols w:space="708"/>
        </w:sectPr>
      </w:pPr>
    </w:p>
    <w:p>
      <w:pPr>
        <w:pStyle w:val="BodyText"/>
        <w:rPr>
          <w:sz w:val="20"/>
        </w:rPr>
      </w:pPr>
    </w:p>
    <w:p>
      <w:pPr>
        <w:spacing w:before="201" w:line="288" w:lineRule="auto"/>
        <w:ind w:left="560" w:right="620" w:firstLine="0"/>
        <w:jc w:val="left"/>
        <w:rPr>
          <w:sz w:val="26"/>
        </w:rPr>
      </w:pPr>
      <w:r>
        <w:rPr>
          <w:color w:val="231F20"/>
          <w:spacing w:val="-11"/>
          <w:sz w:val="26"/>
        </w:rPr>
        <w:t>深入地理解生命的本质。了解生命的物质性和生物界的统一</w:t>
      </w:r>
      <w:r>
        <w:rPr>
          <w:color w:val="231F20"/>
          <w:spacing w:val="-13"/>
          <w:sz w:val="26"/>
        </w:rPr>
        <w:t>性，细胞生命活动中物质、能量和信息变化的统一，细胞结构与功能的统一，生物体部分和整体的统一等，有助于科学</w:t>
      </w:r>
      <w:r>
        <w:rPr>
          <w:color w:val="231F20"/>
          <w:spacing w:val="-8"/>
          <w:sz w:val="26"/>
        </w:rPr>
        <w:t xml:space="preserve">自然观的形成。学习细胞的发现、细胞学说的建立和发展， </w:t>
      </w:r>
      <w:r>
        <w:rPr>
          <w:color w:val="231F20"/>
          <w:spacing w:val="-13"/>
          <w:sz w:val="26"/>
        </w:rPr>
        <w:t>有助于学生加深对科学研究过程和本质的理解。</w:t>
      </w:r>
    </w:p>
    <w:p>
      <w:pPr>
        <w:pStyle w:val="BodyText"/>
        <w:spacing w:before="3"/>
        <w:rPr>
          <w:sz w:val="11"/>
        </w:rPr>
      </w:pPr>
      <w:r>
        <w:pict>
          <v:group id="_x0000_s1054" style="width:359.5pt;height:1pt;margin-top:9.16pt;margin-left:85.54pt;mso-position-horizontal-relative:page;mso-wrap-distance-left:0;mso-wrap-distance-right:0;position:absolute;z-index:-251637760" coordorigin="1711,183" coordsize="7190,20">
            <v:line id="_x0000_s1055" style="position:absolute" from="1771,193" to="8871,193" stroked="t" strokecolor="#231f20" strokeweight="1pt">
              <v:stroke dashstyle="dot"/>
            </v:line>
            <v:line id="_x0000_s1056" style="position:absolute" from="1711,193" to="1711,193" stroked="t" strokecolor="#231f20" strokeweight="1pt">
              <v:stroke dashstyle="solid"/>
            </v:line>
            <v:line id="_x0000_s1057" style="position:absolute" from="8901,193" to="8901,193" stroked="t" strokecolor="#231f20" strokeweight="1pt">
              <v:stroke dashstyle="solid"/>
            </v:line>
            <w10:wrap type="topAndBottom"/>
          </v:group>
        </w:pict>
      </w:r>
    </w:p>
    <w:p>
      <w:pPr>
        <w:pStyle w:val="BodyText"/>
        <w:rPr>
          <w:sz w:val="20"/>
        </w:rPr>
      </w:pPr>
    </w:p>
    <w:p>
      <w:pPr>
        <w:pStyle w:val="BodyText"/>
        <w:spacing w:before="6"/>
        <w:rPr>
          <w:sz w:val="23"/>
        </w:rPr>
      </w:pPr>
    </w:p>
    <w:p>
      <w:pPr>
        <w:pStyle w:val="BodyText"/>
        <w:spacing w:before="75"/>
        <w:ind w:left="580"/>
      </w:pPr>
      <w:r>
        <w:rPr>
          <w:color w:val="231F20"/>
        </w:rPr>
        <w:t>【内容要求】</w:t>
      </w:r>
    </w:p>
    <w:p>
      <w:pPr>
        <w:pStyle w:val="BodyText"/>
        <w:tabs>
          <w:tab w:val="left" w:pos="1104"/>
        </w:tabs>
        <w:spacing w:before="139"/>
        <w:ind w:left="220"/>
      </w:pPr>
      <w:r>
        <w:rPr>
          <w:color w:val="231F20"/>
        </w:rPr>
        <w:t>概</w:t>
      </w:r>
      <w:r>
        <w:rPr>
          <w:color w:val="231F20"/>
          <w:spacing w:val="30"/>
        </w:rPr>
        <w:t>念</w:t>
      </w:r>
      <w:r>
        <w:rPr>
          <w:rFonts w:ascii="Arial" w:eastAsia="Arial"/>
          <w:color w:val="231F20"/>
        </w:rPr>
        <w:t>1</w:t>
        <w:tab/>
      </w:r>
      <w:r>
        <w:rPr>
          <w:color w:val="231F20"/>
        </w:rPr>
        <w:t>细胞是生物体结构与生命活动的基本单位</w:t>
      </w:r>
    </w:p>
    <w:p>
      <w:pPr>
        <w:pStyle w:val="ListParagraph"/>
        <w:numPr>
          <w:ilvl w:val="1"/>
          <w:numId w:val="36"/>
        </w:numPr>
        <w:tabs>
          <w:tab w:val="left" w:pos="644"/>
        </w:tabs>
        <w:spacing w:before="142" w:after="0" w:line="328" w:lineRule="auto"/>
        <w:ind w:left="660" w:right="405" w:hanging="440"/>
        <w:jc w:val="left"/>
        <w:rPr>
          <w:sz w:val="24"/>
        </w:rPr>
      </w:pPr>
      <w:r>
        <w:rPr>
          <w:color w:val="231F20"/>
          <w:sz w:val="24"/>
        </w:rPr>
        <w:t>细胞由多种多样的分子组成，包括水、无机盐、糖类、脂质、蛋白质和核酸等，其中蛋白质和核酸是两类最重要的生物大分子</w:t>
      </w:r>
    </w:p>
    <w:p>
      <w:pPr>
        <w:pStyle w:val="ListParagraph"/>
        <w:numPr>
          <w:ilvl w:val="2"/>
          <w:numId w:val="36"/>
        </w:numPr>
        <w:tabs>
          <w:tab w:val="left" w:pos="1287"/>
        </w:tabs>
        <w:spacing w:before="0" w:after="0" w:line="328" w:lineRule="auto"/>
        <w:ind w:left="1320" w:right="403" w:hanging="641"/>
        <w:jc w:val="both"/>
        <w:rPr>
          <w:sz w:val="24"/>
        </w:rPr>
      </w:pPr>
      <w:r>
        <w:rPr>
          <w:color w:val="231F20"/>
          <w:spacing w:val="9"/>
          <w:sz w:val="24"/>
        </w:rPr>
        <w:t>说出细胞主要由</w:t>
      </w:r>
      <w:r>
        <w:rPr>
          <w:rFonts w:ascii="Times New Roman" w:eastAsia="Times New Roman"/>
          <w:color w:val="231F20"/>
          <w:sz w:val="24"/>
        </w:rPr>
        <w:t>C</w:t>
      </w:r>
      <w:r>
        <w:rPr>
          <w:color w:val="231F20"/>
          <w:sz w:val="24"/>
        </w:rPr>
        <w:t>、</w:t>
      </w:r>
      <w:r>
        <w:rPr>
          <w:rFonts w:ascii="Times New Roman" w:eastAsia="Times New Roman"/>
          <w:color w:val="231F20"/>
          <w:sz w:val="24"/>
        </w:rPr>
        <w:t>H</w:t>
      </w:r>
      <w:r>
        <w:rPr>
          <w:color w:val="231F20"/>
          <w:sz w:val="24"/>
        </w:rPr>
        <w:t>、</w:t>
      </w:r>
      <w:r>
        <w:rPr>
          <w:rFonts w:ascii="Times New Roman" w:eastAsia="Times New Roman"/>
          <w:color w:val="231F20"/>
          <w:sz w:val="24"/>
        </w:rPr>
        <w:t>O</w:t>
      </w:r>
      <w:r>
        <w:rPr>
          <w:color w:val="231F20"/>
          <w:sz w:val="24"/>
        </w:rPr>
        <w:t>、</w:t>
      </w:r>
      <w:r>
        <w:rPr>
          <w:rFonts w:ascii="Times New Roman" w:eastAsia="Times New Roman"/>
          <w:color w:val="231F20"/>
          <w:sz w:val="24"/>
        </w:rPr>
        <w:t>N</w:t>
      </w:r>
      <w:r>
        <w:rPr>
          <w:color w:val="231F20"/>
          <w:sz w:val="24"/>
        </w:rPr>
        <w:t>、</w:t>
      </w:r>
      <w:r>
        <w:rPr>
          <w:rFonts w:ascii="Times New Roman" w:eastAsia="Times New Roman"/>
          <w:color w:val="231F20"/>
          <w:sz w:val="24"/>
        </w:rPr>
        <w:t>P</w:t>
      </w:r>
      <w:r>
        <w:rPr>
          <w:color w:val="231F20"/>
          <w:sz w:val="24"/>
        </w:rPr>
        <w:t>、</w:t>
      </w:r>
      <w:r>
        <w:rPr>
          <w:rFonts w:ascii="Times New Roman" w:eastAsia="Times New Roman"/>
          <w:color w:val="231F20"/>
          <w:sz w:val="24"/>
        </w:rPr>
        <w:t>S</w:t>
      </w:r>
      <w:r>
        <w:rPr>
          <w:rFonts w:ascii="Times New Roman" w:eastAsia="Times New Roman"/>
          <w:color w:val="231F20"/>
          <w:spacing w:val="-28"/>
          <w:sz w:val="24"/>
        </w:rPr>
        <w:t xml:space="preserve"> </w:t>
      </w:r>
      <w:r>
        <w:rPr>
          <w:color w:val="231F20"/>
          <w:spacing w:val="2"/>
          <w:sz w:val="24"/>
        </w:rPr>
        <w:t>等元素构成，它们以</w:t>
      </w:r>
      <w:r>
        <w:rPr>
          <w:color w:val="231F20"/>
          <w:sz w:val="24"/>
        </w:rPr>
        <w:t>碳链为骨架形成复杂的生物大分子</w:t>
      </w:r>
    </w:p>
    <w:p>
      <w:pPr>
        <w:pStyle w:val="ListParagraph"/>
        <w:numPr>
          <w:ilvl w:val="2"/>
          <w:numId w:val="36"/>
        </w:numPr>
        <w:tabs>
          <w:tab w:val="left" w:pos="1283"/>
        </w:tabs>
        <w:spacing w:before="0" w:after="0" w:line="328" w:lineRule="auto"/>
        <w:ind w:left="1320" w:right="406" w:hanging="641"/>
        <w:jc w:val="both"/>
        <w:rPr>
          <w:sz w:val="24"/>
        </w:rPr>
      </w:pPr>
      <w:r>
        <w:rPr>
          <w:color w:val="231F20"/>
          <w:spacing w:val="2"/>
          <w:sz w:val="24"/>
        </w:rPr>
        <w:t>指出水大约占细胞重量的</w:t>
      </w:r>
      <w:r>
        <w:rPr>
          <w:rFonts w:ascii="Times New Roman" w:eastAsia="Times New Roman"/>
          <w:color w:val="231F20"/>
          <w:sz w:val="24"/>
        </w:rPr>
        <w:t>2/3</w:t>
      </w:r>
      <w:r>
        <w:rPr>
          <w:color w:val="231F20"/>
          <w:sz w:val="24"/>
        </w:rPr>
        <w:t>，以自由水和结合水的形式存在，赋予了细胞许多特性，在生命活动中具有重要作用</w:t>
      </w:r>
    </w:p>
    <w:p>
      <w:pPr>
        <w:pStyle w:val="ListParagraph"/>
        <w:numPr>
          <w:ilvl w:val="2"/>
          <w:numId w:val="36"/>
        </w:numPr>
        <w:tabs>
          <w:tab w:val="left" w:pos="1287"/>
        </w:tabs>
        <w:spacing w:before="0" w:after="0" w:line="328" w:lineRule="auto"/>
        <w:ind w:left="1320" w:right="405" w:hanging="640"/>
        <w:jc w:val="both"/>
        <w:rPr>
          <w:sz w:val="24"/>
        </w:rPr>
      </w:pPr>
      <w:r>
        <w:rPr>
          <w:color w:val="231F20"/>
          <w:spacing w:val="4"/>
          <w:sz w:val="24"/>
        </w:rPr>
        <w:t>举例说出无机盐在细胞内含量虽少，但与生命活动密切相</w:t>
      </w:r>
      <w:r>
        <w:rPr>
          <w:color w:val="231F20"/>
          <w:sz w:val="24"/>
        </w:rPr>
        <w:t>关</w:t>
      </w:r>
    </w:p>
    <w:p>
      <w:pPr>
        <w:pStyle w:val="ListParagraph"/>
        <w:numPr>
          <w:ilvl w:val="2"/>
          <w:numId w:val="36"/>
        </w:numPr>
        <w:tabs>
          <w:tab w:val="left" w:pos="1287"/>
        </w:tabs>
        <w:spacing w:before="0" w:after="0" w:line="328" w:lineRule="auto"/>
        <w:ind w:left="1320" w:right="405" w:hanging="640"/>
        <w:jc w:val="both"/>
        <w:rPr>
          <w:sz w:val="24"/>
        </w:rPr>
      </w:pPr>
      <w:r>
        <w:rPr>
          <w:color w:val="231F20"/>
          <w:spacing w:val="3"/>
          <w:sz w:val="24"/>
        </w:rPr>
        <w:t>概述糖类有多种类型，它们既是细胞的重要结构成分，又</w:t>
      </w:r>
      <w:r>
        <w:rPr>
          <w:color w:val="231F20"/>
          <w:sz w:val="24"/>
        </w:rPr>
        <w:t>是生命活动的主要能源物质</w:t>
      </w:r>
    </w:p>
    <w:p>
      <w:pPr>
        <w:pStyle w:val="ListParagraph"/>
        <w:numPr>
          <w:ilvl w:val="2"/>
          <w:numId w:val="36"/>
        </w:numPr>
        <w:tabs>
          <w:tab w:val="left" w:pos="1286"/>
        </w:tabs>
        <w:spacing w:before="0" w:after="0" w:line="328" w:lineRule="auto"/>
        <w:ind w:left="1319" w:right="407" w:hanging="640"/>
        <w:jc w:val="both"/>
        <w:rPr>
          <w:sz w:val="24"/>
        </w:rPr>
      </w:pPr>
      <w:r>
        <w:rPr>
          <w:color w:val="231F20"/>
          <w:spacing w:val="5"/>
          <w:sz w:val="24"/>
        </w:rPr>
        <w:t>举例说出不同种类的脂质对维持细胞结构和功能有重要作</w:t>
      </w:r>
      <w:r>
        <w:rPr>
          <w:color w:val="231F20"/>
          <w:sz w:val="24"/>
        </w:rPr>
        <w:t>用</w:t>
      </w:r>
    </w:p>
    <w:p>
      <w:pPr>
        <w:pStyle w:val="ListParagraph"/>
        <w:numPr>
          <w:ilvl w:val="2"/>
          <w:numId w:val="36"/>
        </w:numPr>
        <w:tabs>
          <w:tab w:val="left" w:pos="1284"/>
        </w:tabs>
        <w:spacing w:before="0" w:after="0" w:line="328" w:lineRule="auto"/>
        <w:ind w:left="1319" w:right="405" w:hanging="640"/>
        <w:jc w:val="both"/>
        <w:rPr>
          <w:sz w:val="24"/>
        </w:rPr>
      </w:pPr>
      <w:r>
        <w:rPr>
          <w:color w:val="231F20"/>
          <w:spacing w:val="6"/>
          <w:sz w:val="24"/>
        </w:rPr>
        <w:t>阐明蛋白质通常由</w:t>
      </w:r>
      <w:r>
        <w:rPr>
          <w:rFonts w:ascii="Times New Roman" w:eastAsia="Times New Roman"/>
          <w:color w:val="231F20"/>
          <w:sz w:val="24"/>
        </w:rPr>
        <w:t>20</w:t>
      </w:r>
      <w:r>
        <w:rPr>
          <w:rFonts w:ascii="Times New Roman" w:eastAsia="Times New Roman"/>
          <w:color w:val="231F20"/>
          <w:spacing w:val="-29"/>
          <w:sz w:val="24"/>
        </w:rPr>
        <w:t xml:space="preserve"> </w:t>
      </w:r>
      <w:r>
        <w:rPr>
          <w:color w:val="231F20"/>
          <w:spacing w:val="2"/>
          <w:sz w:val="24"/>
        </w:rPr>
        <w:t>种氨基酸分子组成，它的功能取决于</w:t>
      </w:r>
      <w:r>
        <w:rPr>
          <w:color w:val="231F20"/>
          <w:spacing w:val="3"/>
          <w:sz w:val="24"/>
        </w:rPr>
        <w:t>氨基酸序列及其形成的空间结构，细胞的功能主要由蛋白</w:t>
      </w:r>
      <w:r>
        <w:rPr>
          <w:color w:val="231F20"/>
          <w:sz w:val="24"/>
        </w:rPr>
        <w:t>质完成</w:t>
      </w:r>
    </w:p>
    <w:p>
      <w:pPr>
        <w:pStyle w:val="ListParagraph"/>
        <w:numPr>
          <w:ilvl w:val="2"/>
          <w:numId w:val="36"/>
        </w:numPr>
        <w:tabs>
          <w:tab w:val="left" w:pos="1285"/>
        </w:tabs>
        <w:spacing w:before="0" w:after="0" w:line="328" w:lineRule="auto"/>
        <w:ind w:left="1319" w:right="392" w:hanging="641"/>
        <w:jc w:val="both"/>
        <w:rPr>
          <w:sz w:val="24"/>
        </w:rPr>
      </w:pPr>
      <w:r>
        <w:rPr>
          <w:color w:val="231F20"/>
          <w:spacing w:val="15"/>
          <w:sz w:val="24"/>
        </w:rPr>
        <w:t>概述核酸由核苷酸聚合而成，是储存与传递遗传信息的</w:t>
      </w:r>
      <w:r>
        <w:rPr>
          <w:color w:val="231F20"/>
          <w:spacing w:val="12"/>
          <w:sz w:val="24"/>
        </w:rPr>
        <w:t>生物大分子</w:t>
      </w:r>
    </w:p>
    <w:p>
      <w:pPr>
        <w:pStyle w:val="ListParagraph"/>
        <w:numPr>
          <w:ilvl w:val="1"/>
          <w:numId w:val="36"/>
        </w:numPr>
        <w:tabs>
          <w:tab w:val="left" w:pos="640"/>
        </w:tabs>
        <w:spacing w:before="0" w:after="0" w:line="305" w:lineRule="exact"/>
        <w:ind w:left="639" w:right="0" w:hanging="421"/>
        <w:jc w:val="both"/>
        <w:rPr>
          <w:sz w:val="24"/>
        </w:rPr>
      </w:pPr>
      <w:r>
        <w:rPr>
          <w:color w:val="231F20"/>
          <w:sz w:val="24"/>
        </w:rPr>
        <w:t>细胞各部分结构既分工又合作，共同执行细胞的各项生命活动</w:t>
      </w:r>
    </w:p>
    <w:p>
      <w:pPr>
        <w:pStyle w:val="ListParagraph"/>
        <w:numPr>
          <w:ilvl w:val="2"/>
          <w:numId w:val="36"/>
        </w:numPr>
        <w:tabs>
          <w:tab w:val="left" w:pos="1292"/>
        </w:tabs>
        <w:spacing w:before="93" w:after="0" w:line="240" w:lineRule="auto"/>
        <w:ind w:left="1291" w:right="0" w:hanging="613"/>
        <w:jc w:val="both"/>
        <w:rPr>
          <w:sz w:val="24"/>
        </w:rPr>
      </w:pPr>
      <w:r>
        <w:rPr>
          <w:color w:val="231F20"/>
          <w:spacing w:val="7"/>
          <w:sz w:val="24"/>
        </w:rPr>
        <w:t>概述细胞都由质膜包裹，质膜将细胞与其生活环境分开，</w:t>
      </w:r>
    </w:p>
    <w:p>
      <w:pPr>
        <w:spacing w:after="0" w:line="240" w:lineRule="auto"/>
        <w:jc w:val="both"/>
        <w:rPr>
          <w:sz w:val="24"/>
        </w:rPr>
        <w:sectPr>
          <w:headerReference w:type="even" r:id="rId41"/>
          <w:headerReference w:type="default" r:id="rId42"/>
          <w:footerReference w:type="even" r:id="rId43"/>
          <w:footerReference w:type="default" r:id="rId44"/>
          <w:pgSz w:w="10780" w:h="15090"/>
          <w:pgMar w:top="1260" w:right="1460" w:bottom="1400" w:left="1480" w:header="989" w:footer="1217"/>
          <w:pgNumType w:start="12"/>
          <w:cols w:space="708"/>
        </w:sectPr>
      </w:pPr>
    </w:p>
    <w:p>
      <w:pPr>
        <w:pStyle w:val="BodyText"/>
        <w:spacing w:before="10"/>
        <w:rPr>
          <w:sz w:val="29"/>
        </w:rPr>
      </w:pPr>
    </w:p>
    <w:p>
      <w:pPr>
        <w:pStyle w:val="BodyText"/>
        <w:spacing w:before="67"/>
        <w:ind w:left="1490"/>
      </w:pPr>
      <w:r>
        <w:rPr>
          <w:color w:val="231F20"/>
        </w:rPr>
        <w:t>能控制物质进出，并参与细胞间的信息交流</w:t>
      </w:r>
    </w:p>
    <w:p>
      <w:pPr>
        <w:pStyle w:val="ListParagraph"/>
        <w:numPr>
          <w:ilvl w:val="2"/>
          <w:numId w:val="36"/>
        </w:numPr>
        <w:tabs>
          <w:tab w:val="left" w:pos="1463"/>
        </w:tabs>
        <w:spacing w:before="113" w:after="0" w:line="328" w:lineRule="auto"/>
        <w:ind w:left="1490" w:right="119" w:hanging="641"/>
        <w:jc w:val="left"/>
        <w:rPr>
          <w:sz w:val="24"/>
        </w:rPr>
      </w:pPr>
      <w:r>
        <w:rPr>
          <w:color w:val="231F20"/>
          <w:spacing w:val="8"/>
          <w:sz w:val="24"/>
        </w:rPr>
        <w:t>阐明细胞内具有多个相对独立的结构，担负着物质运输、合成与分解、能量转换和信息传递等生命活动</w:t>
      </w:r>
    </w:p>
    <w:p>
      <w:pPr>
        <w:pStyle w:val="ListParagraph"/>
        <w:numPr>
          <w:ilvl w:val="2"/>
          <w:numId w:val="36"/>
        </w:numPr>
        <w:tabs>
          <w:tab w:val="left" w:pos="1451"/>
        </w:tabs>
        <w:spacing w:before="0" w:after="0" w:line="305" w:lineRule="exact"/>
        <w:ind w:left="1450" w:right="0" w:hanging="601"/>
        <w:jc w:val="left"/>
        <w:rPr>
          <w:sz w:val="24"/>
        </w:rPr>
      </w:pPr>
      <w:r>
        <w:rPr>
          <w:color w:val="231F20"/>
          <w:sz w:val="24"/>
        </w:rPr>
        <w:t>阐明遗传信息主要储存在细胞核中</w:t>
      </w:r>
    </w:p>
    <w:p>
      <w:pPr>
        <w:pStyle w:val="ListParagraph"/>
        <w:numPr>
          <w:ilvl w:val="2"/>
          <w:numId w:val="36"/>
        </w:numPr>
        <w:tabs>
          <w:tab w:val="left" w:pos="1457"/>
        </w:tabs>
        <w:spacing w:before="112" w:after="0" w:line="328" w:lineRule="auto"/>
        <w:ind w:left="1490" w:right="234" w:hanging="640"/>
        <w:jc w:val="left"/>
        <w:rPr>
          <w:sz w:val="24"/>
        </w:rPr>
      </w:pPr>
      <w:r>
        <w:rPr>
          <w:color w:val="231F20"/>
          <w:spacing w:val="3"/>
          <w:sz w:val="24"/>
        </w:rPr>
        <w:t>举例说明细胞各部分结构之间相互联系、协调一致，共同</w:t>
      </w:r>
      <w:r>
        <w:rPr>
          <w:color w:val="231F20"/>
          <w:sz w:val="24"/>
        </w:rPr>
        <w:t>执行细胞的各项生命活动</w:t>
      </w:r>
    </w:p>
    <w:p>
      <w:pPr>
        <w:pStyle w:val="ListParagraph"/>
        <w:numPr>
          <w:ilvl w:val="1"/>
          <w:numId w:val="36"/>
        </w:numPr>
        <w:tabs>
          <w:tab w:val="left" w:pos="811"/>
        </w:tabs>
        <w:spacing w:before="0" w:after="0" w:line="305" w:lineRule="exact"/>
        <w:ind w:left="810" w:right="0" w:hanging="421"/>
        <w:jc w:val="left"/>
        <w:rPr>
          <w:sz w:val="24"/>
        </w:rPr>
      </w:pPr>
      <w:r>
        <w:rPr>
          <w:color w:val="231F20"/>
          <w:sz w:val="24"/>
        </w:rPr>
        <w:t>各种细胞具有相似的基本结构，但在形态与功能上有所差异</w:t>
      </w:r>
    </w:p>
    <w:p>
      <w:pPr>
        <w:pStyle w:val="ListParagraph"/>
        <w:numPr>
          <w:ilvl w:val="2"/>
          <w:numId w:val="36"/>
        </w:numPr>
        <w:tabs>
          <w:tab w:val="left" w:pos="1463"/>
        </w:tabs>
        <w:spacing w:before="113" w:after="0" w:line="328" w:lineRule="auto"/>
        <w:ind w:left="1490" w:right="119" w:hanging="641"/>
        <w:jc w:val="left"/>
        <w:rPr>
          <w:sz w:val="24"/>
        </w:rPr>
      </w:pPr>
      <w:r>
        <w:rPr>
          <w:color w:val="231F20"/>
          <w:spacing w:val="8"/>
          <w:sz w:val="24"/>
        </w:rPr>
        <w:t>说明有些生物体只有一个细胞，而有的由很多细胞构成， 这些细胞形态和功能多样，但都具有相似的基本结构</w:t>
      </w:r>
    </w:p>
    <w:p>
      <w:pPr>
        <w:pStyle w:val="ListParagraph"/>
        <w:numPr>
          <w:ilvl w:val="2"/>
          <w:numId w:val="36"/>
        </w:numPr>
        <w:tabs>
          <w:tab w:val="left" w:pos="1457"/>
        </w:tabs>
        <w:spacing w:before="0" w:after="0" w:line="328" w:lineRule="auto"/>
        <w:ind w:left="1490" w:right="235" w:hanging="640"/>
        <w:jc w:val="left"/>
        <w:rPr>
          <w:sz w:val="24"/>
        </w:rPr>
      </w:pPr>
      <w:r>
        <w:rPr>
          <w:color w:val="231F20"/>
          <w:spacing w:val="5"/>
          <w:sz w:val="24"/>
        </w:rPr>
        <w:t>描述原核细胞与真核细胞的最大区别是原核细胞没有由核</w:t>
      </w:r>
      <w:r>
        <w:rPr>
          <w:color w:val="231F20"/>
          <w:sz w:val="24"/>
        </w:rPr>
        <w:t>膜包被的细胞核</w:t>
      </w:r>
    </w:p>
    <w:p>
      <w:pPr>
        <w:pStyle w:val="BodyText"/>
        <w:spacing w:before="6"/>
        <w:rPr>
          <w:sz w:val="34"/>
        </w:rPr>
      </w:pPr>
    </w:p>
    <w:p>
      <w:pPr>
        <w:pStyle w:val="BodyText"/>
        <w:tabs>
          <w:tab w:val="left" w:pos="1274"/>
        </w:tabs>
        <w:spacing w:before="1"/>
        <w:ind w:left="390"/>
      </w:pPr>
      <w:r>
        <w:rPr>
          <w:color w:val="231F20"/>
        </w:rPr>
        <w:t>概</w:t>
      </w:r>
      <w:r>
        <w:rPr>
          <w:color w:val="231F20"/>
          <w:spacing w:val="30"/>
        </w:rPr>
        <w:t>念</w:t>
      </w:r>
      <w:r>
        <w:rPr>
          <w:rFonts w:ascii="Arial" w:eastAsia="Arial"/>
          <w:color w:val="231F20"/>
        </w:rPr>
        <w:t>2</w:t>
        <w:tab/>
      </w:r>
      <w:r>
        <w:rPr>
          <w:color w:val="231F20"/>
        </w:rPr>
        <w:t>细胞的生存需要能量和营养物质，并通过分裂实现增殖</w:t>
      </w:r>
    </w:p>
    <w:p>
      <w:pPr>
        <w:pStyle w:val="ListParagraph"/>
        <w:numPr>
          <w:ilvl w:val="1"/>
          <w:numId w:val="35"/>
        </w:numPr>
        <w:tabs>
          <w:tab w:val="left" w:pos="814"/>
        </w:tabs>
        <w:spacing w:before="141" w:after="0" w:line="328" w:lineRule="auto"/>
        <w:ind w:left="830" w:right="234" w:hanging="441"/>
        <w:jc w:val="left"/>
        <w:rPr>
          <w:sz w:val="24"/>
        </w:rPr>
      </w:pPr>
      <w:r>
        <w:rPr>
          <w:color w:val="231F20"/>
          <w:sz w:val="24"/>
        </w:rPr>
        <w:t>物质通过被动运输、主动运输等方式进出细胞，以维持细胞的正常代谢活动</w:t>
      </w:r>
    </w:p>
    <w:p>
      <w:pPr>
        <w:pStyle w:val="ListParagraph"/>
        <w:numPr>
          <w:ilvl w:val="2"/>
          <w:numId w:val="35"/>
        </w:numPr>
        <w:tabs>
          <w:tab w:val="left" w:pos="1451"/>
        </w:tabs>
        <w:spacing w:before="0" w:after="0" w:line="305" w:lineRule="exact"/>
        <w:ind w:left="1450" w:right="0" w:hanging="601"/>
        <w:jc w:val="left"/>
        <w:rPr>
          <w:sz w:val="24"/>
        </w:rPr>
      </w:pPr>
      <w:r>
        <w:rPr>
          <w:color w:val="231F20"/>
          <w:sz w:val="24"/>
        </w:rPr>
        <w:t>阐明质膜具有选择透过性</w:t>
      </w:r>
    </w:p>
    <w:p>
      <w:pPr>
        <w:pStyle w:val="ListParagraph"/>
        <w:numPr>
          <w:ilvl w:val="2"/>
          <w:numId w:val="35"/>
        </w:numPr>
        <w:tabs>
          <w:tab w:val="left" w:pos="1457"/>
        </w:tabs>
        <w:spacing w:before="113" w:after="0" w:line="328" w:lineRule="auto"/>
        <w:ind w:left="1490" w:right="234" w:hanging="640"/>
        <w:jc w:val="left"/>
        <w:rPr>
          <w:sz w:val="24"/>
        </w:rPr>
      </w:pPr>
      <w:r>
        <w:rPr>
          <w:color w:val="231F20"/>
          <w:spacing w:val="4"/>
          <w:sz w:val="24"/>
        </w:rPr>
        <w:t>举例说明有些物质顺浓度梯度进出细胞，不需要额外提供</w:t>
      </w:r>
      <w:r>
        <w:rPr>
          <w:color w:val="231F20"/>
          <w:spacing w:val="-12"/>
          <w:sz w:val="24"/>
        </w:rPr>
        <w:t>能量；有些物质逆浓度梯度进出细胞，需要能量和载体蛋白</w:t>
      </w:r>
    </w:p>
    <w:p>
      <w:pPr>
        <w:pStyle w:val="ListParagraph"/>
        <w:numPr>
          <w:ilvl w:val="2"/>
          <w:numId w:val="35"/>
        </w:numPr>
        <w:tabs>
          <w:tab w:val="left" w:pos="1451"/>
        </w:tabs>
        <w:spacing w:before="0" w:after="0" w:line="305" w:lineRule="exact"/>
        <w:ind w:left="1450" w:right="0" w:hanging="601"/>
        <w:jc w:val="left"/>
        <w:rPr>
          <w:sz w:val="24"/>
        </w:rPr>
      </w:pPr>
      <w:r>
        <w:rPr>
          <w:color w:val="231F20"/>
          <w:sz w:val="24"/>
        </w:rPr>
        <w:t>举例说明大分子物质可以通过胞吞、胞吐进出细胞</w:t>
      </w:r>
    </w:p>
    <w:p>
      <w:pPr>
        <w:pStyle w:val="ListParagraph"/>
        <w:numPr>
          <w:ilvl w:val="1"/>
          <w:numId w:val="35"/>
        </w:numPr>
        <w:tabs>
          <w:tab w:val="left" w:pos="813"/>
        </w:tabs>
        <w:spacing w:before="112" w:after="0" w:line="328" w:lineRule="auto"/>
        <w:ind w:left="830" w:right="238" w:hanging="440"/>
        <w:jc w:val="left"/>
        <w:rPr>
          <w:sz w:val="24"/>
        </w:rPr>
      </w:pPr>
      <w:r>
        <w:rPr>
          <w:color w:val="231F20"/>
          <w:spacing w:val="-1"/>
          <w:sz w:val="24"/>
        </w:rPr>
        <w:t>细胞的功能绝大多数基于化学反应，这些反应发生在细胞的特定</w:t>
      </w:r>
      <w:r>
        <w:rPr>
          <w:color w:val="231F20"/>
          <w:sz w:val="24"/>
        </w:rPr>
        <w:t>区域</w:t>
      </w:r>
    </w:p>
    <w:p>
      <w:pPr>
        <w:pStyle w:val="ListParagraph"/>
        <w:numPr>
          <w:ilvl w:val="2"/>
          <w:numId w:val="35"/>
        </w:numPr>
        <w:tabs>
          <w:tab w:val="left" w:pos="1457"/>
        </w:tabs>
        <w:spacing w:before="0" w:after="0" w:line="328" w:lineRule="auto"/>
        <w:ind w:left="1490" w:right="235" w:hanging="640"/>
        <w:jc w:val="left"/>
        <w:rPr>
          <w:sz w:val="24"/>
        </w:rPr>
      </w:pPr>
      <w:r>
        <w:rPr>
          <w:color w:val="231F20"/>
          <w:spacing w:val="4"/>
          <w:sz w:val="24"/>
        </w:rPr>
        <w:t>说明绝大多数酶是一类能催化生化反应的蛋白质，酶活性</w:t>
      </w:r>
      <w:r>
        <w:rPr>
          <w:color w:val="231F20"/>
          <w:sz w:val="24"/>
        </w:rPr>
        <w:t>受到环境因素（</w:t>
      </w:r>
      <w:r>
        <w:rPr>
          <w:color w:val="231F20"/>
          <w:spacing w:val="30"/>
          <w:sz w:val="24"/>
        </w:rPr>
        <w:t>如</w:t>
      </w:r>
      <w:r>
        <w:rPr>
          <w:rFonts w:ascii="Times New Roman" w:eastAsia="Times New Roman"/>
          <w:color w:val="231F20"/>
          <w:sz w:val="24"/>
        </w:rPr>
        <w:t>pH</w:t>
      </w:r>
      <w:r>
        <w:rPr>
          <w:rFonts w:ascii="Times New Roman" w:eastAsia="Times New Roman"/>
          <w:color w:val="231F20"/>
          <w:spacing w:val="-30"/>
          <w:sz w:val="24"/>
        </w:rPr>
        <w:t xml:space="preserve"> </w:t>
      </w:r>
      <w:r>
        <w:rPr>
          <w:color w:val="231F20"/>
          <w:sz w:val="24"/>
        </w:rPr>
        <w:t>和温度等）的影响</w:t>
      </w:r>
    </w:p>
    <w:p>
      <w:pPr>
        <w:pStyle w:val="ListParagraph"/>
        <w:numPr>
          <w:ilvl w:val="2"/>
          <w:numId w:val="35"/>
        </w:numPr>
        <w:tabs>
          <w:tab w:val="left" w:pos="1451"/>
        </w:tabs>
        <w:spacing w:before="0" w:after="0" w:line="305" w:lineRule="exact"/>
        <w:ind w:left="1450" w:right="0" w:hanging="601"/>
        <w:jc w:val="left"/>
        <w:rPr>
          <w:sz w:val="24"/>
        </w:rPr>
      </w:pPr>
      <w:r>
        <w:rPr>
          <w:color w:val="231F20"/>
          <w:spacing w:val="15"/>
          <w:sz w:val="24"/>
        </w:rPr>
        <w:t>解释</w:t>
      </w:r>
      <w:r>
        <w:rPr>
          <w:rFonts w:ascii="Times New Roman" w:eastAsia="Times New Roman"/>
          <w:color w:val="231F20"/>
          <w:spacing w:val="-9"/>
          <w:sz w:val="24"/>
        </w:rPr>
        <w:t>ATP</w:t>
      </w:r>
      <w:r>
        <w:rPr>
          <w:rFonts w:ascii="Times New Roman" w:eastAsia="Times New Roman"/>
          <w:color w:val="231F20"/>
          <w:spacing w:val="-30"/>
          <w:sz w:val="24"/>
        </w:rPr>
        <w:t xml:space="preserve"> </w:t>
      </w:r>
      <w:r>
        <w:rPr>
          <w:color w:val="231F20"/>
          <w:sz w:val="24"/>
        </w:rPr>
        <w:t>是驱动细胞生命活动的直接能源物质</w:t>
      </w:r>
    </w:p>
    <w:p>
      <w:pPr>
        <w:pStyle w:val="ListParagraph"/>
        <w:numPr>
          <w:ilvl w:val="2"/>
          <w:numId w:val="35"/>
        </w:numPr>
        <w:tabs>
          <w:tab w:val="left" w:pos="1458"/>
        </w:tabs>
        <w:spacing w:before="110" w:after="0" w:line="328" w:lineRule="auto"/>
        <w:ind w:left="1489" w:right="243" w:hanging="640"/>
        <w:jc w:val="both"/>
        <w:rPr>
          <w:sz w:val="24"/>
        </w:rPr>
      </w:pPr>
      <w:r>
        <w:rPr>
          <w:color w:val="231F20"/>
          <w:spacing w:val="-6"/>
          <w:sz w:val="24"/>
        </w:rPr>
        <w:t>说明植物细胞的叶绿体从太阳光中捕获能量，这些能量在二</w:t>
      </w:r>
      <w:r>
        <w:rPr>
          <w:color w:val="231F20"/>
          <w:spacing w:val="-7"/>
          <w:sz w:val="24"/>
        </w:rPr>
        <w:t>氧化碳和水转变为糖与氧气的过程中，转换并储存为糖分子</w:t>
      </w:r>
      <w:r>
        <w:rPr>
          <w:color w:val="231F20"/>
          <w:spacing w:val="-12"/>
          <w:sz w:val="24"/>
        </w:rPr>
        <w:t>中的化学能</w:t>
      </w:r>
    </w:p>
    <w:p>
      <w:pPr>
        <w:pStyle w:val="ListParagraph"/>
        <w:numPr>
          <w:ilvl w:val="2"/>
          <w:numId w:val="35"/>
        </w:numPr>
        <w:tabs>
          <w:tab w:val="left" w:pos="1456"/>
        </w:tabs>
        <w:spacing w:before="0" w:after="0" w:line="304" w:lineRule="exact"/>
        <w:ind w:left="1455" w:right="0" w:hanging="607"/>
        <w:jc w:val="both"/>
        <w:rPr>
          <w:sz w:val="24"/>
        </w:rPr>
      </w:pPr>
      <w:r>
        <w:rPr>
          <w:color w:val="231F20"/>
          <w:spacing w:val="5"/>
          <w:sz w:val="24"/>
        </w:rPr>
        <w:t>说明生物通过细胞呼吸将储存在有机分子中的能量转化为</w:t>
      </w:r>
    </w:p>
    <w:p>
      <w:pPr>
        <w:spacing w:after="0" w:line="304" w:lineRule="exact"/>
        <w:jc w:val="both"/>
        <w:rPr>
          <w:sz w:val="24"/>
        </w:rPr>
        <w:sectPr>
          <w:pgSz w:w="10780" w:h="15090"/>
          <w:pgMar w:top="1260" w:right="1460" w:bottom="1400" w:left="1480" w:header="1029" w:footer="1217"/>
          <w:cols w:space="708"/>
        </w:sectPr>
      </w:pPr>
    </w:p>
    <w:p>
      <w:pPr>
        <w:pStyle w:val="BodyText"/>
        <w:rPr>
          <w:sz w:val="20"/>
        </w:rPr>
      </w:pPr>
    </w:p>
    <w:p>
      <w:pPr>
        <w:pStyle w:val="BodyText"/>
        <w:spacing w:before="203"/>
        <w:ind w:left="1320"/>
      </w:pPr>
      <w:r>
        <w:rPr>
          <w:color w:val="231F20"/>
        </w:rPr>
        <w:t>生命活动可以利用的能量</w:t>
      </w:r>
    </w:p>
    <w:p>
      <w:pPr>
        <w:pStyle w:val="ListParagraph"/>
        <w:numPr>
          <w:ilvl w:val="1"/>
          <w:numId w:val="35"/>
        </w:numPr>
        <w:tabs>
          <w:tab w:val="left" w:pos="641"/>
        </w:tabs>
        <w:spacing w:before="112" w:after="0" w:line="240" w:lineRule="auto"/>
        <w:ind w:left="640" w:right="0" w:hanging="421"/>
        <w:jc w:val="left"/>
        <w:rPr>
          <w:sz w:val="24"/>
        </w:rPr>
      </w:pPr>
      <w:r>
        <w:rPr>
          <w:color w:val="231F20"/>
          <w:sz w:val="24"/>
        </w:rPr>
        <w:t>细胞会经历生长、增殖、分化、衰老和死亡等生命进程</w:t>
      </w:r>
    </w:p>
    <w:p>
      <w:pPr>
        <w:pStyle w:val="ListParagraph"/>
        <w:numPr>
          <w:ilvl w:val="2"/>
          <w:numId w:val="35"/>
        </w:numPr>
        <w:tabs>
          <w:tab w:val="left" w:pos="1287"/>
        </w:tabs>
        <w:spacing w:before="113" w:after="0" w:line="328" w:lineRule="auto"/>
        <w:ind w:left="1320" w:right="404" w:hanging="640"/>
        <w:jc w:val="left"/>
        <w:rPr>
          <w:sz w:val="24"/>
        </w:rPr>
      </w:pPr>
      <w:r>
        <w:rPr>
          <w:color w:val="231F20"/>
          <w:spacing w:val="4"/>
          <w:sz w:val="24"/>
        </w:rPr>
        <w:t>描述细胞通过不同的方式进行分裂，其中有丝分裂保证了</w:t>
      </w:r>
      <w:r>
        <w:rPr>
          <w:color w:val="231F20"/>
          <w:sz w:val="24"/>
        </w:rPr>
        <w:t>遗传信息在亲代和子代细胞中的一致性</w:t>
      </w:r>
    </w:p>
    <w:p>
      <w:pPr>
        <w:pStyle w:val="ListParagraph"/>
        <w:numPr>
          <w:ilvl w:val="2"/>
          <w:numId w:val="35"/>
        </w:numPr>
        <w:tabs>
          <w:tab w:val="left" w:pos="1287"/>
        </w:tabs>
        <w:spacing w:before="0" w:after="0" w:line="328" w:lineRule="auto"/>
        <w:ind w:left="1320" w:right="404" w:hanging="640"/>
        <w:jc w:val="left"/>
        <w:rPr>
          <w:sz w:val="24"/>
        </w:rPr>
      </w:pPr>
      <w:r>
        <w:rPr>
          <w:color w:val="231F20"/>
          <w:spacing w:val="3"/>
          <w:sz w:val="24"/>
        </w:rPr>
        <w:t>说明在个体发育过程中，细胞在形态、结构和功能方面发</w:t>
      </w:r>
      <w:r>
        <w:rPr>
          <w:color w:val="231F20"/>
          <w:sz w:val="24"/>
        </w:rPr>
        <w:t>生特异性的分化，形成了复杂的多细胞生物体</w:t>
      </w:r>
    </w:p>
    <w:p>
      <w:pPr>
        <w:pStyle w:val="ListParagraph"/>
        <w:numPr>
          <w:ilvl w:val="2"/>
          <w:numId w:val="35"/>
        </w:numPr>
        <w:tabs>
          <w:tab w:val="left" w:pos="1281"/>
        </w:tabs>
        <w:spacing w:before="0" w:after="0" w:line="305" w:lineRule="exact"/>
        <w:ind w:left="1280" w:right="0" w:hanging="601"/>
        <w:jc w:val="left"/>
        <w:rPr>
          <w:sz w:val="24"/>
        </w:rPr>
      </w:pPr>
      <w:r>
        <w:rPr>
          <w:color w:val="231F20"/>
          <w:spacing w:val="-12"/>
          <w:sz w:val="24"/>
        </w:rPr>
        <w:t>描述在正常情况下，细胞衰老和死亡是一种自然的生理过程</w:t>
      </w:r>
    </w:p>
    <w:p>
      <w:pPr>
        <w:pStyle w:val="BodyText"/>
        <w:rPr>
          <w:sz w:val="26"/>
        </w:rPr>
      </w:pPr>
    </w:p>
    <w:p>
      <w:pPr>
        <w:pStyle w:val="BodyText"/>
        <w:spacing w:before="198"/>
        <w:ind w:left="580"/>
      </w:pPr>
      <w:r>
        <w:rPr>
          <w:color w:val="231F20"/>
        </w:rPr>
        <w:t>【教学提示】</w:t>
      </w:r>
    </w:p>
    <w:p>
      <w:pPr>
        <w:pStyle w:val="BodyText"/>
        <w:spacing w:before="111" w:line="328" w:lineRule="auto"/>
        <w:ind w:left="220" w:right="397" w:firstLine="480"/>
        <w:jc w:val="both"/>
      </w:pPr>
      <w:r>
        <w:rPr>
          <w:color w:val="231F20"/>
        </w:rPr>
        <w:t>在本模块的教学中，教师要组织好观察、实验等探究性学习活动，帮助学生增加感性认识，克服对微观结构认识的困难，使学生领悟科学研究的方法并习得相关的操作技能。结合生物个体水平的知识、化学和物理学知识以及学生的生活经验，突破学习难点。鼓励学生搜集有关细胞研究和应用方面的信息及研究进展，进行交流，以丰富相关知识，加深对科学、技术、社会相互关系的认识。</w:t>
      </w:r>
    </w:p>
    <w:p>
      <w:pPr>
        <w:pStyle w:val="BodyText"/>
        <w:spacing w:line="328" w:lineRule="auto"/>
        <w:ind w:left="220" w:right="386" w:firstLine="480"/>
        <w:jc w:val="both"/>
      </w:pPr>
      <w:r>
        <w:rPr>
          <w:color w:val="231F20"/>
        </w:rPr>
        <w:t xml:space="preserve">为帮助学生达成对概念 </w:t>
      </w:r>
      <w:r>
        <w:rPr>
          <w:rFonts w:ascii="Times New Roman" w:eastAsia="Times New Roman"/>
          <w:color w:val="231F20"/>
        </w:rPr>
        <w:t xml:space="preserve">1 </w:t>
      </w:r>
      <w:r>
        <w:rPr>
          <w:color w:val="231F20"/>
        </w:rPr>
        <w:t>的理解，促进学生生物学学科核心素养的提升，应开展下列教学活动：（</w:t>
      </w:r>
      <w:r>
        <w:rPr>
          <w:rFonts w:ascii="Times New Roman" w:eastAsia="Times New Roman"/>
          <w:color w:val="231F20"/>
        </w:rPr>
        <w:t>1</w:t>
      </w:r>
      <w:r>
        <w:rPr>
          <w:color w:val="231F20"/>
        </w:rPr>
        <w:t>）检测生物组织中的还原糖、脂肪和蛋白质；（</w:t>
      </w:r>
      <w:r>
        <w:rPr>
          <w:rFonts w:ascii="Times New Roman" w:eastAsia="Times New Roman"/>
          <w:color w:val="231F20"/>
        </w:rPr>
        <w:t>2</w:t>
      </w:r>
      <w:r>
        <w:rPr>
          <w:color w:val="231F20"/>
        </w:rPr>
        <w:t>）观察叶绿体和细胞质流动；（</w:t>
      </w:r>
      <w:r>
        <w:rPr>
          <w:rFonts w:ascii="Times New Roman" w:eastAsia="Times New Roman"/>
          <w:color w:val="231F20"/>
        </w:rPr>
        <w:t>3</w:t>
      </w:r>
      <w:r>
        <w:rPr>
          <w:color w:val="231F20"/>
        </w:rPr>
        <w:t>）尝试制作真核细胞的结构模型；（</w:t>
      </w:r>
      <w:r>
        <w:rPr>
          <w:rFonts w:ascii="Times New Roman" w:eastAsia="Times New Roman"/>
          <w:color w:val="231F20"/>
        </w:rPr>
        <w:t>4</w:t>
      </w:r>
      <w:r>
        <w:rPr>
          <w:color w:val="231F20"/>
        </w:rPr>
        <w:t>）使用光学显微镜观察各种细胞，可结合电镜照片分析细胞的亚显微结构。</w:t>
      </w:r>
    </w:p>
    <w:p>
      <w:pPr>
        <w:pStyle w:val="BodyText"/>
        <w:spacing w:line="328" w:lineRule="auto"/>
        <w:ind w:left="220" w:right="288" w:firstLine="480"/>
        <w:jc w:val="both"/>
      </w:pPr>
      <w:r>
        <w:rPr>
          <w:color w:val="231F20"/>
        </w:rPr>
        <w:t>为帮助学生达成对概念</w:t>
      </w:r>
      <w:r>
        <w:rPr>
          <w:rFonts w:ascii="Times New Roman" w:eastAsia="Times New Roman"/>
          <w:color w:val="231F20"/>
        </w:rPr>
        <w:t xml:space="preserve">2 </w:t>
      </w:r>
      <w:r>
        <w:rPr>
          <w:color w:val="231F20"/>
        </w:rPr>
        <w:t>的理解，促进学生生物学学科核心素养的提升，应开展下列教学活动：（</w:t>
      </w:r>
      <w:r>
        <w:rPr>
          <w:rFonts w:ascii="Times New Roman" w:eastAsia="Times New Roman"/>
          <w:color w:val="231F20"/>
        </w:rPr>
        <w:t>1</w:t>
      </w:r>
      <w:r>
        <w:rPr>
          <w:color w:val="231F20"/>
        </w:rPr>
        <w:t>）通过模拟实验探究膜的透性；</w:t>
      </w:r>
    </w:p>
    <w:p>
      <w:pPr>
        <w:pStyle w:val="ListParagraph"/>
        <w:numPr>
          <w:ilvl w:val="0"/>
          <w:numId w:val="34"/>
        </w:numPr>
        <w:tabs>
          <w:tab w:val="left" w:pos="702"/>
        </w:tabs>
        <w:spacing w:before="0" w:after="0" w:line="328" w:lineRule="auto"/>
        <w:ind w:left="220" w:right="409" w:hanging="120"/>
        <w:jc w:val="both"/>
        <w:rPr>
          <w:sz w:val="24"/>
        </w:rPr>
      </w:pPr>
      <w:r>
        <w:rPr>
          <w:color w:val="231F20"/>
          <w:spacing w:val="-8"/>
          <w:sz w:val="24"/>
        </w:rPr>
        <w:t>观察植物细胞的质壁分离和复原；</w:t>
      </w:r>
      <w:r>
        <w:rPr>
          <w:color w:val="231F20"/>
          <w:sz w:val="24"/>
        </w:rPr>
        <w:t>（</w:t>
      </w:r>
      <w:r>
        <w:rPr>
          <w:rFonts w:ascii="Times New Roman" w:eastAsia="Times New Roman"/>
          <w:color w:val="231F20"/>
          <w:sz w:val="24"/>
        </w:rPr>
        <w:t>3</w:t>
      </w:r>
      <w:r>
        <w:rPr>
          <w:color w:val="231F20"/>
          <w:sz w:val="24"/>
        </w:rPr>
        <w:t>）</w:t>
      </w:r>
      <w:r>
        <w:rPr>
          <w:color w:val="231F20"/>
          <w:spacing w:val="-2"/>
          <w:sz w:val="24"/>
        </w:rPr>
        <w:t>探究酶催化的专一性、高</w:t>
      </w:r>
      <w:r>
        <w:rPr>
          <w:color w:val="231F20"/>
          <w:spacing w:val="-10"/>
          <w:sz w:val="24"/>
        </w:rPr>
        <w:t>效性及影响酶活性的因素；</w:t>
      </w:r>
      <w:r>
        <w:rPr>
          <w:color w:val="231F20"/>
          <w:sz w:val="24"/>
        </w:rPr>
        <w:t>（</w:t>
      </w:r>
      <w:r>
        <w:rPr>
          <w:rFonts w:ascii="Times New Roman" w:eastAsia="Times New Roman"/>
          <w:color w:val="231F20"/>
          <w:sz w:val="24"/>
        </w:rPr>
        <w:t>4</w:t>
      </w:r>
      <w:r>
        <w:rPr>
          <w:color w:val="231F20"/>
          <w:sz w:val="24"/>
        </w:rPr>
        <w:t>）</w:t>
      </w:r>
      <w:r>
        <w:rPr>
          <w:color w:val="231F20"/>
          <w:spacing w:val="-11"/>
          <w:sz w:val="24"/>
        </w:rPr>
        <w:t>提取和分离叶绿体色素；</w:t>
      </w:r>
      <w:r>
        <w:rPr>
          <w:color w:val="231F20"/>
          <w:sz w:val="24"/>
        </w:rPr>
        <w:t>（</w:t>
      </w:r>
      <w:r>
        <w:rPr>
          <w:rFonts w:ascii="Times New Roman" w:eastAsia="Times New Roman"/>
          <w:color w:val="231F20"/>
          <w:sz w:val="24"/>
        </w:rPr>
        <w:t>5</w:t>
      </w:r>
      <w:r>
        <w:rPr>
          <w:color w:val="231F20"/>
          <w:sz w:val="24"/>
        </w:rPr>
        <w:t>）</w:t>
      </w:r>
      <w:r>
        <w:rPr>
          <w:color w:val="231F20"/>
          <w:spacing w:val="-6"/>
          <w:sz w:val="24"/>
        </w:rPr>
        <w:t>探究不</w:t>
      </w:r>
      <w:r>
        <w:rPr>
          <w:color w:val="231F20"/>
          <w:spacing w:val="-9"/>
          <w:sz w:val="24"/>
        </w:rPr>
        <w:t>同环境因素对光合作用的影响；</w:t>
      </w:r>
      <w:r>
        <w:rPr>
          <w:color w:val="231F20"/>
          <w:sz w:val="24"/>
        </w:rPr>
        <w:t>（</w:t>
      </w:r>
      <w:r>
        <w:rPr>
          <w:rFonts w:ascii="Times New Roman" w:eastAsia="Times New Roman"/>
          <w:color w:val="231F20"/>
          <w:sz w:val="24"/>
        </w:rPr>
        <w:t>6</w:t>
      </w:r>
      <w:r>
        <w:rPr>
          <w:color w:val="231F20"/>
          <w:sz w:val="24"/>
        </w:rPr>
        <w:t>）</w:t>
      </w:r>
      <w:r>
        <w:rPr>
          <w:color w:val="231F20"/>
          <w:spacing w:val="-11"/>
          <w:sz w:val="24"/>
        </w:rPr>
        <w:t>探究酵母菌的呼吸方式；</w:t>
      </w:r>
      <w:r>
        <w:rPr>
          <w:color w:val="231F20"/>
          <w:sz w:val="24"/>
        </w:rPr>
        <w:t>（</w:t>
      </w:r>
      <w:r>
        <w:rPr>
          <w:rFonts w:ascii="Times New Roman" w:eastAsia="Times New Roman"/>
          <w:color w:val="231F20"/>
          <w:sz w:val="24"/>
        </w:rPr>
        <w:t>7</w:t>
      </w:r>
      <w:r>
        <w:rPr>
          <w:color w:val="231F20"/>
          <w:sz w:val="24"/>
        </w:rPr>
        <w:t>）</w:t>
      </w:r>
      <w:r>
        <w:rPr>
          <w:color w:val="231F20"/>
          <w:spacing w:val="-18"/>
          <w:sz w:val="24"/>
        </w:rPr>
        <w:t>制</w:t>
      </w:r>
      <w:r>
        <w:rPr>
          <w:color w:val="231F20"/>
          <w:sz w:val="24"/>
        </w:rPr>
        <w:t>作和观察根尖细胞有丝分裂简易装片，或观察其永久装片。</w:t>
      </w:r>
    </w:p>
    <w:p>
      <w:pPr>
        <w:spacing w:after="0" w:line="328" w:lineRule="auto"/>
        <w:jc w:val="both"/>
        <w:rPr>
          <w:sz w:val="24"/>
        </w:rPr>
        <w:sectPr>
          <w:pgSz w:w="10780" w:h="15090"/>
          <w:pgMar w:top="1260" w:right="1460" w:bottom="1400" w:left="1480" w:header="989" w:footer="1217"/>
          <w:cols w:space="708"/>
        </w:sectPr>
      </w:pPr>
    </w:p>
    <w:p>
      <w:pPr>
        <w:pStyle w:val="BodyText"/>
        <w:spacing w:before="3"/>
        <w:rPr>
          <w:sz w:val="29"/>
        </w:rPr>
      </w:pPr>
    </w:p>
    <w:p>
      <w:pPr>
        <w:pStyle w:val="BodyText"/>
        <w:spacing w:before="76"/>
        <w:ind w:left="750"/>
      </w:pPr>
      <w:r>
        <w:rPr>
          <w:color w:val="231F20"/>
        </w:rPr>
        <w:t>【学业要求】</w:t>
      </w:r>
    </w:p>
    <w:p>
      <w:pPr>
        <w:pStyle w:val="BodyText"/>
        <w:spacing w:before="111"/>
        <w:ind w:left="870"/>
      </w:pPr>
      <w:r>
        <w:rPr>
          <w:color w:val="231F20"/>
        </w:rPr>
        <w:t>完成本模块学习后，学生应该能够：</w:t>
      </w:r>
    </w:p>
    <w:p>
      <w:pPr>
        <w:pStyle w:val="ListParagraph"/>
        <w:numPr>
          <w:ilvl w:val="1"/>
          <w:numId w:val="34"/>
        </w:numPr>
        <w:tabs>
          <w:tab w:val="left" w:pos="1054"/>
        </w:tabs>
        <w:spacing w:before="112" w:after="0" w:line="328" w:lineRule="auto"/>
        <w:ind w:left="390" w:right="234" w:firstLine="480"/>
        <w:jc w:val="both"/>
        <w:rPr>
          <w:sz w:val="24"/>
        </w:rPr>
      </w:pPr>
      <w:r>
        <w:rPr>
          <w:color w:val="231F20"/>
          <w:sz w:val="24"/>
        </w:rPr>
        <w:t>从结构与功能相适应这一视角，解释细胞由多种多样的分子组成，这些分子是细胞执行各项生命活动的物质基础（</w:t>
      </w:r>
      <w:r>
        <w:rPr>
          <w:color w:val="231F20"/>
          <w:spacing w:val="-2"/>
          <w:sz w:val="24"/>
        </w:rPr>
        <w:t>生命观念、科学</w:t>
      </w:r>
      <w:r>
        <w:rPr>
          <w:color w:val="231F20"/>
          <w:sz w:val="24"/>
        </w:rPr>
        <w:t>思维</w:t>
      </w:r>
      <w:r>
        <w:rPr>
          <w:color w:val="231F20"/>
          <w:spacing w:val="-90"/>
          <w:sz w:val="24"/>
        </w:rPr>
        <w:t>）；</w:t>
      </w:r>
    </w:p>
    <w:p>
      <w:pPr>
        <w:pStyle w:val="ListParagraph"/>
        <w:numPr>
          <w:ilvl w:val="1"/>
          <w:numId w:val="34"/>
        </w:numPr>
        <w:tabs>
          <w:tab w:val="left" w:pos="1059"/>
        </w:tabs>
        <w:spacing w:before="0" w:after="0" w:line="328" w:lineRule="auto"/>
        <w:ind w:left="390" w:right="118" w:firstLine="480"/>
        <w:jc w:val="left"/>
        <w:rPr>
          <w:sz w:val="24"/>
        </w:rPr>
      </w:pPr>
      <w:r>
        <w:rPr>
          <w:color w:val="231F20"/>
          <w:spacing w:val="4"/>
          <w:sz w:val="24"/>
        </w:rPr>
        <w:t xml:space="preserve">建构并使用细胞模型，阐明细胞各部分结构通过分工与合作， </w:t>
      </w:r>
      <w:r>
        <w:rPr>
          <w:color w:val="231F20"/>
          <w:spacing w:val="7"/>
          <w:sz w:val="24"/>
        </w:rPr>
        <w:t>形成相互协调的有机整体，实现细胞水平的各项生命活动</w:t>
      </w:r>
      <w:r>
        <w:rPr>
          <w:color w:val="231F20"/>
          <w:spacing w:val="11"/>
          <w:sz w:val="24"/>
        </w:rPr>
        <w:t>（</w:t>
      </w:r>
      <w:r>
        <w:rPr>
          <w:color w:val="231F20"/>
          <w:spacing w:val="6"/>
          <w:sz w:val="24"/>
        </w:rPr>
        <w:t>生命观念、科学思维、科学探究</w:t>
      </w:r>
      <w:r>
        <w:rPr>
          <w:color w:val="231F20"/>
          <w:spacing w:val="-90"/>
          <w:sz w:val="24"/>
        </w:rPr>
        <w:t>）；</w:t>
      </w:r>
    </w:p>
    <w:p>
      <w:pPr>
        <w:pStyle w:val="ListParagraph"/>
        <w:numPr>
          <w:ilvl w:val="1"/>
          <w:numId w:val="34"/>
        </w:numPr>
        <w:tabs>
          <w:tab w:val="left" w:pos="1054"/>
        </w:tabs>
        <w:spacing w:before="0" w:after="0" w:line="328" w:lineRule="auto"/>
        <w:ind w:left="390" w:right="236" w:firstLine="480"/>
        <w:jc w:val="both"/>
        <w:rPr>
          <w:sz w:val="24"/>
        </w:rPr>
      </w:pPr>
      <w:r>
        <w:rPr>
          <w:color w:val="231F20"/>
          <w:sz w:val="24"/>
        </w:rPr>
        <w:t>从物质与能量视角，探索光合作用与呼吸作用，阐明细胞生命活动过程中贯穿着物质与能量的变化（</w:t>
      </w:r>
      <w:r>
        <w:rPr>
          <w:color w:val="231F20"/>
          <w:spacing w:val="-2"/>
          <w:sz w:val="24"/>
        </w:rPr>
        <w:t>生命观念、科学思维、科学探</w:t>
      </w:r>
      <w:r>
        <w:rPr>
          <w:color w:val="231F20"/>
          <w:sz w:val="24"/>
        </w:rPr>
        <w:t>究</w:t>
      </w:r>
      <w:r>
        <w:rPr>
          <w:color w:val="231F20"/>
          <w:spacing w:val="-90"/>
          <w:sz w:val="24"/>
        </w:rPr>
        <w:t>）；</w:t>
      </w:r>
    </w:p>
    <w:p>
      <w:pPr>
        <w:pStyle w:val="ListParagraph"/>
        <w:numPr>
          <w:ilvl w:val="1"/>
          <w:numId w:val="34"/>
        </w:numPr>
        <w:tabs>
          <w:tab w:val="left" w:pos="1054"/>
        </w:tabs>
        <w:spacing w:before="0" w:after="0" w:line="328" w:lineRule="auto"/>
        <w:ind w:left="390" w:right="236" w:firstLine="480"/>
        <w:jc w:val="both"/>
        <w:rPr>
          <w:sz w:val="24"/>
        </w:rPr>
      </w:pPr>
      <w:r>
        <w:rPr>
          <w:color w:val="231F20"/>
          <w:sz w:val="24"/>
        </w:rPr>
        <w:t>观察多种多样的细胞，说明这些细胞具有多种形态和功能，但同时又都具有相似的基本结构（生命观念、科学探究</w:t>
      </w:r>
      <w:r>
        <w:rPr>
          <w:color w:val="231F20"/>
          <w:spacing w:val="-90"/>
          <w:sz w:val="24"/>
        </w:rPr>
        <w:t>）；</w:t>
      </w:r>
    </w:p>
    <w:p>
      <w:pPr>
        <w:pStyle w:val="ListParagraph"/>
        <w:numPr>
          <w:ilvl w:val="1"/>
          <w:numId w:val="34"/>
        </w:numPr>
        <w:tabs>
          <w:tab w:val="left" w:pos="1054"/>
        </w:tabs>
        <w:spacing w:before="0" w:after="0" w:line="328" w:lineRule="auto"/>
        <w:ind w:left="390" w:right="236" w:firstLine="480"/>
        <w:jc w:val="both"/>
        <w:rPr>
          <w:sz w:val="24"/>
        </w:rPr>
      </w:pPr>
      <w:r>
        <w:rPr>
          <w:color w:val="231F20"/>
          <w:sz w:val="24"/>
        </w:rPr>
        <w:t>观察处于细胞周期不同阶段的细胞，结合有丝分裂模型，描述</w:t>
      </w:r>
      <w:r>
        <w:rPr>
          <w:color w:val="231F20"/>
          <w:spacing w:val="-1"/>
          <w:sz w:val="24"/>
        </w:rPr>
        <w:t>细胞增殖的主要特征，并举例说明细胞的分化、衰老、死亡等生命现</w:t>
      </w:r>
      <w:r>
        <w:rPr>
          <w:color w:val="231F20"/>
          <w:sz w:val="24"/>
        </w:rPr>
        <w:t>象（生命观念、科学探究、社会责任</w:t>
      </w:r>
      <w:r>
        <w:rPr>
          <w:color w:val="231F20"/>
          <w:spacing w:val="-90"/>
          <w:sz w:val="24"/>
        </w:rPr>
        <w:t>）</w:t>
      </w:r>
      <w:r>
        <w:rPr>
          <w:color w:val="231F20"/>
          <w:sz w:val="24"/>
        </w:rPr>
        <w:t>。</w:t>
      </w:r>
    </w:p>
    <w:p>
      <w:pPr>
        <w:pStyle w:val="BodyText"/>
        <w:spacing w:before="10"/>
        <w:rPr>
          <w:sz w:val="19"/>
        </w:rPr>
      </w:pPr>
    </w:p>
    <w:tbl>
      <w:tblPr>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493"/>
        <w:gridCol w:w="2523"/>
        <w:gridCol w:w="4175"/>
      </w:tblGrid>
      <w:tr>
        <w:tblPrEx>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Ex>
        <w:trPr>
          <w:trHeight w:val="162"/>
          <w:jc w:val="left"/>
        </w:trPr>
        <w:tc>
          <w:tcPr>
            <w:tcW w:w="493" w:type="dxa"/>
            <w:tcBorders>
              <w:top w:val="nil"/>
              <w:left w:val="nil"/>
              <w:bottom w:val="dotted" w:sz="8" w:space="0" w:color="231F20"/>
            </w:tcBorders>
          </w:tcPr>
          <w:p>
            <w:pPr>
              <w:pStyle w:val="TableParagraph"/>
              <w:rPr>
                <w:rFonts w:ascii="Times New Roman"/>
                <w:sz w:val="10"/>
              </w:rPr>
            </w:pPr>
          </w:p>
        </w:tc>
        <w:tc>
          <w:tcPr>
            <w:tcW w:w="2523" w:type="dxa"/>
            <w:tcBorders>
              <w:bottom w:val="dotted" w:sz="8" w:space="0" w:color="231F20"/>
            </w:tcBorders>
          </w:tcPr>
          <w:p>
            <w:pPr>
              <w:pStyle w:val="TableParagraph"/>
              <w:tabs>
                <w:tab w:val="left" w:pos="1052"/>
              </w:tabs>
              <w:spacing w:line="143" w:lineRule="exact"/>
              <w:ind w:left="172"/>
              <w:rPr>
                <w:sz w:val="26"/>
              </w:rPr>
            </w:pPr>
            <w:r>
              <w:rPr>
                <w:color w:val="231F20"/>
                <w:spacing w:val="-16"/>
                <w:sz w:val="26"/>
              </w:rPr>
              <w:t>模</w:t>
            </w:r>
            <w:r>
              <w:rPr>
                <w:color w:val="231F20"/>
                <w:spacing w:val="16"/>
                <w:sz w:val="26"/>
              </w:rPr>
              <w:t>块</w:t>
            </w:r>
            <w:r>
              <w:rPr>
                <w:rFonts w:ascii="Times New Roman" w:eastAsia="Times New Roman"/>
                <w:color w:val="231F20"/>
                <w:sz w:val="26"/>
              </w:rPr>
              <w:t>2</w:t>
              <w:tab/>
            </w:r>
            <w:r>
              <w:rPr>
                <w:color w:val="231F20"/>
                <w:spacing w:val="-16"/>
                <w:sz w:val="26"/>
              </w:rPr>
              <w:t>遗传与进化</w:t>
            </w:r>
          </w:p>
        </w:tc>
        <w:tc>
          <w:tcPr>
            <w:tcW w:w="4175" w:type="dxa"/>
            <w:tcBorders>
              <w:top w:val="nil"/>
              <w:bottom w:val="dotted" w:sz="8" w:space="0" w:color="231F20"/>
              <w:right w:val="nil"/>
            </w:tcBorders>
          </w:tcPr>
          <w:p>
            <w:pPr>
              <w:pStyle w:val="TableParagraph"/>
              <w:rPr>
                <w:rFonts w:ascii="Times New Roman"/>
                <w:sz w:val="10"/>
              </w:rPr>
            </w:pPr>
          </w:p>
        </w:tc>
      </w:tr>
      <w:tr>
        <w:tblPrEx>
          <w:tblW w:w="0" w:type="auto"/>
          <w:jc w:val="left"/>
          <w:tblInd w:w="408" w:type="dxa"/>
          <w:tblLayout w:type="fixed"/>
          <w:tblCellMar>
            <w:top w:w="0" w:type="dxa"/>
            <w:left w:w="0" w:type="dxa"/>
            <w:bottom w:w="0" w:type="dxa"/>
            <w:right w:w="0" w:type="dxa"/>
          </w:tblCellMar>
          <w:tblLook w:val="01E0"/>
        </w:tblPrEx>
        <w:trPr>
          <w:trHeight w:val="162"/>
          <w:jc w:val="left"/>
        </w:trPr>
        <w:tc>
          <w:tcPr>
            <w:tcW w:w="493" w:type="dxa"/>
            <w:tcBorders>
              <w:top w:val="dotted" w:sz="8" w:space="0" w:color="231F20"/>
              <w:left w:val="nil"/>
              <w:bottom w:val="nil"/>
            </w:tcBorders>
          </w:tcPr>
          <w:p>
            <w:pPr>
              <w:pStyle w:val="TableParagraph"/>
              <w:rPr>
                <w:rFonts w:ascii="Times New Roman"/>
                <w:sz w:val="10"/>
              </w:rPr>
            </w:pPr>
          </w:p>
        </w:tc>
        <w:tc>
          <w:tcPr>
            <w:tcW w:w="2523" w:type="dxa"/>
            <w:tcBorders>
              <w:top w:val="dotted" w:sz="8" w:space="0" w:color="231F20"/>
            </w:tcBorders>
          </w:tcPr>
          <w:p>
            <w:pPr>
              <w:pStyle w:val="TableParagraph"/>
              <w:rPr>
                <w:rFonts w:ascii="Times New Roman"/>
                <w:sz w:val="10"/>
              </w:rPr>
            </w:pPr>
          </w:p>
        </w:tc>
        <w:tc>
          <w:tcPr>
            <w:tcW w:w="4175" w:type="dxa"/>
            <w:tcBorders>
              <w:top w:val="dotted" w:sz="8" w:space="0" w:color="231F20"/>
              <w:bottom w:val="nil"/>
              <w:right w:val="nil"/>
            </w:tcBorders>
          </w:tcPr>
          <w:p>
            <w:pPr>
              <w:pStyle w:val="TableParagraph"/>
              <w:rPr>
                <w:rFonts w:ascii="Times New Roman"/>
                <w:sz w:val="10"/>
              </w:rPr>
            </w:pPr>
          </w:p>
        </w:tc>
      </w:tr>
    </w:tbl>
    <w:p>
      <w:pPr>
        <w:pStyle w:val="BodyText"/>
        <w:spacing w:before="2"/>
        <w:rPr>
          <w:sz w:val="8"/>
        </w:rPr>
      </w:pPr>
    </w:p>
    <w:p>
      <w:pPr>
        <w:pStyle w:val="Heading4"/>
        <w:spacing w:before="65" w:line="302" w:lineRule="auto"/>
        <w:ind w:right="581"/>
        <w:jc w:val="left"/>
      </w:pPr>
      <w:r>
        <w:pict>
          <v:shape id="_x0000_s1058" style="width:126.3pt;height:18.8pt;margin-top:-24.56pt;margin-left:118.62pt;mso-position-horizontal-relative:page;position:absolute;z-index:-251651072" coordorigin="2372,-491" coordsize="2526,376" path="m4723,-491l2547,-491,2446,-489,2394,-471,2375,-424,2372,-331,2372,-276,2375,-184,2394,-136,2446,-119,2547,-116,4723,-116,4824,-119,4876,-136,4895,-184,4898,-276,4898,-331,4895,-424,4876,-471,4824,-489,4723,-491xe" filled="t" fillcolor="#e6e7e8" stroked="f">
            <v:fill type="solid"/>
            <v:path arrowok="t"/>
          </v:shape>
        </w:pict>
      </w:r>
      <w:r>
        <w:rPr>
          <w:color w:val="231F20"/>
        </w:rPr>
        <w:t>本模块包括遗传的细胞基础、遗传的分子基础、遗传的基本规律、生物的变异和生物的进化等内容。</w:t>
      </w:r>
    </w:p>
    <w:p>
      <w:pPr>
        <w:spacing w:before="0" w:line="302" w:lineRule="auto"/>
        <w:ind w:left="731" w:right="575" w:firstLine="479"/>
        <w:jc w:val="both"/>
        <w:rPr>
          <w:sz w:val="26"/>
        </w:rPr>
      </w:pPr>
      <w:r>
        <w:rPr>
          <w:color w:val="231F20"/>
          <w:sz w:val="26"/>
        </w:rPr>
        <w:t>生物通过生殖、发育和遗传实现生命的延续和种族的繁衍，通过进化形成物种多样性和适应性，进化的本质是遗传物质的改变。</w:t>
      </w:r>
    </w:p>
    <w:p>
      <w:pPr>
        <w:spacing w:before="1" w:line="302" w:lineRule="auto"/>
        <w:ind w:left="731" w:right="578" w:firstLine="479"/>
        <w:jc w:val="both"/>
        <w:rPr>
          <w:sz w:val="26"/>
        </w:rPr>
      </w:pPr>
      <w:r>
        <w:rPr>
          <w:color w:val="231F20"/>
          <w:spacing w:val="-1"/>
          <w:sz w:val="26"/>
        </w:rPr>
        <w:t>本模块选取的减数分裂和受精作用、</w:t>
      </w:r>
      <w:r>
        <w:rPr>
          <w:rFonts w:ascii="Times New Roman" w:eastAsia="Times New Roman"/>
          <w:color w:val="231F20"/>
          <w:spacing w:val="-4"/>
          <w:sz w:val="26"/>
        </w:rPr>
        <w:t xml:space="preserve">DNA </w:t>
      </w:r>
      <w:r>
        <w:rPr>
          <w:color w:val="231F20"/>
          <w:spacing w:val="-3"/>
          <w:sz w:val="26"/>
        </w:rPr>
        <w:t>分子的结构</w:t>
      </w:r>
      <w:r>
        <w:rPr>
          <w:color w:val="231F20"/>
          <w:sz w:val="26"/>
        </w:rPr>
        <w:t>和功能、遗传和变异的基本原理及应用等知识，主要是从细胞水平和分子水平阐述生命的延续性；选取的现代生物进化理论和物种形成等知识，主要是为了阐明生物进化的过程和原因。本模块的内容，对于学生理解生命的延续和</w:t>
      </w:r>
    </w:p>
    <w:p>
      <w:pPr>
        <w:spacing w:after="0" w:line="302" w:lineRule="auto"/>
        <w:jc w:val="both"/>
        <w:rPr>
          <w:sz w:val="26"/>
        </w:rPr>
        <w:sectPr>
          <w:pgSz w:w="10780" w:h="15090"/>
          <w:pgMar w:top="1260" w:right="1460" w:bottom="1400" w:left="1480" w:header="1029" w:footer="1217"/>
          <w:cols w:space="708"/>
        </w:sectPr>
      </w:pPr>
    </w:p>
    <w:p>
      <w:pPr>
        <w:pStyle w:val="BodyText"/>
        <w:rPr>
          <w:sz w:val="20"/>
        </w:rPr>
      </w:pPr>
    </w:p>
    <w:p>
      <w:pPr>
        <w:spacing w:before="201" w:line="302" w:lineRule="auto"/>
        <w:ind w:left="560" w:right="618" w:firstLine="0"/>
        <w:jc w:val="left"/>
        <w:rPr>
          <w:sz w:val="26"/>
        </w:rPr>
      </w:pPr>
      <w:r>
        <w:rPr>
          <w:color w:val="231F20"/>
          <w:spacing w:val="1"/>
          <w:sz w:val="26"/>
        </w:rPr>
        <w:t xml:space="preserve">发展，认识生物界及生物多样性，形成生物进化的观点， </w:t>
      </w:r>
      <w:r>
        <w:rPr>
          <w:color w:val="231F20"/>
          <w:sz w:val="26"/>
        </w:rPr>
        <w:t>树立正确的自然观有重要意义；同时，对于学生理解有关</w:t>
      </w:r>
      <w:r>
        <w:rPr>
          <w:color w:val="231F20"/>
          <w:spacing w:val="-10"/>
          <w:sz w:val="26"/>
        </w:rPr>
        <w:t xml:space="preserve">原理在促进经济与社会发展、增进人类健康等方面的价值， </w:t>
      </w:r>
      <w:r>
        <w:rPr>
          <w:color w:val="231F20"/>
          <w:sz w:val="26"/>
        </w:rPr>
        <w:t>也是十分重要的。</w:t>
      </w:r>
    </w:p>
    <w:p>
      <w:pPr>
        <w:pStyle w:val="BodyText"/>
        <w:spacing w:before="8"/>
        <w:rPr>
          <w:sz w:val="9"/>
        </w:rPr>
      </w:pPr>
      <w:r>
        <w:pict>
          <v:group id="_x0000_s1059" style="width:359.5pt;height:1pt;margin-top:8.15pt;margin-left:85.54pt;mso-position-horizontal-relative:page;mso-wrap-distance-left:0;mso-wrap-distance-right:0;position:absolute;z-index:-251636736" coordorigin="1711,163" coordsize="7190,20">
            <v:line id="_x0000_s1060" style="position:absolute" from="1771,173" to="8871,173" stroked="t" strokecolor="#231f20" strokeweight="1pt">
              <v:stroke dashstyle="dot"/>
            </v:line>
            <v:line id="_x0000_s1061" style="position:absolute" from="1711,173" to="1711,173" stroked="t" strokecolor="#231f20" strokeweight="1pt">
              <v:stroke dashstyle="solid"/>
            </v:line>
            <v:line id="_x0000_s1062" style="position:absolute" from="8901,173" to="8901,173" stroked="t" strokecolor="#231f20" strokeweight="1pt">
              <v:stroke dashstyle="solid"/>
            </v:line>
            <w10:wrap type="topAndBottom"/>
          </v:group>
        </w:pict>
      </w:r>
    </w:p>
    <w:p>
      <w:pPr>
        <w:pStyle w:val="BodyText"/>
        <w:rPr>
          <w:sz w:val="20"/>
        </w:rPr>
      </w:pPr>
    </w:p>
    <w:p>
      <w:pPr>
        <w:pStyle w:val="BodyText"/>
        <w:spacing w:before="6"/>
        <w:rPr>
          <w:sz w:val="23"/>
        </w:rPr>
      </w:pPr>
    </w:p>
    <w:p>
      <w:pPr>
        <w:pStyle w:val="BodyText"/>
        <w:spacing w:before="75"/>
        <w:ind w:left="580"/>
      </w:pPr>
      <w:r>
        <w:rPr>
          <w:color w:val="231F20"/>
        </w:rPr>
        <w:t>【内容要求】</w:t>
      </w:r>
    </w:p>
    <w:p>
      <w:pPr>
        <w:pStyle w:val="BodyText"/>
        <w:tabs>
          <w:tab w:val="left" w:pos="1104"/>
        </w:tabs>
        <w:spacing w:before="139"/>
        <w:ind w:left="220"/>
      </w:pPr>
      <w:r>
        <w:rPr>
          <w:color w:val="231F20"/>
        </w:rPr>
        <w:t>概</w:t>
      </w:r>
      <w:r>
        <w:rPr>
          <w:color w:val="231F20"/>
          <w:spacing w:val="30"/>
        </w:rPr>
        <w:t>念</w:t>
      </w:r>
      <w:r>
        <w:rPr>
          <w:rFonts w:ascii="Arial" w:eastAsia="Arial"/>
          <w:color w:val="231F20"/>
        </w:rPr>
        <w:t>3</w:t>
        <w:tab/>
      </w:r>
      <w:r>
        <w:rPr>
          <w:color w:val="231F20"/>
        </w:rPr>
        <w:t>遗传信息控制生物性状，并代代相传</w:t>
      </w:r>
    </w:p>
    <w:p>
      <w:pPr>
        <w:pStyle w:val="ListParagraph"/>
        <w:numPr>
          <w:ilvl w:val="1"/>
          <w:numId w:val="33"/>
        </w:numPr>
        <w:tabs>
          <w:tab w:val="left" w:pos="641"/>
        </w:tabs>
        <w:spacing w:before="142" w:after="0" w:line="240" w:lineRule="auto"/>
        <w:ind w:left="640" w:right="0" w:hanging="421"/>
        <w:jc w:val="left"/>
        <w:rPr>
          <w:sz w:val="24"/>
        </w:rPr>
      </w:pPr>
      <w:r>
        <w:rPr>
          <w:color w:val="231F20"/>
          <w:spacing w:val="1"/>
          <w:sz w:val="24"/>
        </w:rPr>
        <w:t>亲代传递给子代的遗传信息主要编码在</w:t>
      </w:r>
      <w:r>
        <w:rPr>
          <w:rFonts w:ascii="Times New Roman" w:eastAsia="Times New Roman"/>
          <w:color w:val="231F20"/>
          <w:spacing w:val="-3"/>
          <w:sz w:val="24"/>
        </w:rPr>
        <w:t>DNA</w:t>
      </w:r>
      <w:r>
        <w:rPr>
          <w:rFonts w:ascii="Times New Roman" w:eastAsia="Times New Roman"/>
          <w:color w:val="231F20"/>
          <w:spacing w:val="-30"/>
          <w:sz w:val="24"/>
        </w:rPr>
        <w:t xml:space="preserve"> </w:t>
      </w:r>
      <w:r>
        <w:rPr>
          <w:color w:val="231F20"/>
          <w:sz w:val="24"/>
        </w:rPr>
        <w:t>分子上</w:t>
      </w:r>
    </w:p>
    <w:p>
      <w:pPr>
        <w:pStyle w:val="ListParagraph"/>
        <w:numPr>
          <w:ilvl w:val="2"/>
          <w:numId w:val="33"/>
        </w:numPr>
        <w:tabs>
          <w:tab w:val="left" w:pos="1284"/>
        </w:tabs>
        <w:spacing w:before="112" w:after="0" w:line="328" w:lineRule="auto"/>
        <w:ind w:left="1320" w:right="407" w:hanging="640"/>
        <w:jc w:val="left"/>
        <w:rPr>
          <w:sz w:val="24"/>
        </w:rPr>
      </w:pPr>
      <w:r>
        <w:rPr>
          <w:color w:val="231F20"/>
          <w:spacing w:val="3"/>
          <w:sz w:val="24"/>
        </w:rPr>
        <w:t>概述多数生物的基因是</w:t>
      </w:r>
      <w:r>
        <w:rPr>
          <w:rFonts w:ascii="Times New Roman" w:eastAsia="Times New Roman"/>
          <w:color w:val="231F20"/>
          <w:spacing w:val="-3"/>
          <w:sz w:val="24"/>
        </w:rPr>
        <w:t>DNA</w:t>
      </w:r>
      <w:r>
        <w:rPr>
          <w:rFonts w:ascii="Times New Roman" w:eastAsia="Times New Roman"/>
          <w:color w:val="231F20"/>
          <w:spacing w:val="-9"/>
          <w:sz w:val="24"/>
        </w:rPr>
        <w:t xml:space="preserve"> </w:t>
      </w:r>
      <w:r>
        <w:rPr>
          <w:color w:val="231F20"/>
          <w:spacing w:val="-1"/>
          <w:sz w:val="24"/>
        </w:rPr>
        <w:t>分子的功能片段，有些病毒的</w:t>
      </w:r>
      <w:r>
        <w:rPr>
          <w:color w:val="231F20"/>
          <w:spacing w:val="10"/>
          <w:sz w:val="24"/>
        </w:rPr>
        <w:t>基因在</w:t>
      </w:r>
      <w:r>
        <w:rPr>
          <w:rFonts w:ascii="Times New Roman" w:eastAsia="Times New Roman"/>
          <w:color w:val="231F20"/>
          <w:spacing w:val="-3"/>
          <w:sz w:val="24"/>
        </w:rPr>
        <w:t>RNA</w:t>
      </w:r>
      <w:r>
        <w:rPr>
          <w:rFonts w:ascii="Times New Roman" w:eastAsia="Times New Roman"/>
          <w:color w:val="231F20"/>
          <w:spacing w:val="-30"/>
          <w:sz w:val="24"/>
        </w:rPr>
        <w:t xml:space="preserve"> </w:t>
      </w:r>
      <w:r>
        <w:rPr>
          <w:color w:val="231F20"/>
          <w:sz w:val="24"/>
        </w:rPr>
        <w:t>分子上</w:t>
      </w:r>
    </w:p>
    <w:p>
      <w:pPr>
        <w:pStyle w:val="ListParagraph"/>
        <w:numPr>
          <w:ilvl w:val="2"/>
          <w:numId w:val="33"/>
        </w:numPr>
        <w:tabs>
          <w:tab w:val="left" w:pos="1283"/>
        </w:tabs>
        <w:spacing w:before="0" w:after="0" w:line="328" w:lineRule="auto"/>
        <w:ind w:left="1320" w:right="405" w:hanging="640"/>
        <w:jc w:val="both"/>
        <w:rPr>
          <w:sz w:val="24"/>
        </w:rPr>
      </w:pPr>
      <w:r>
        <w:rPr>
          <w:color w:val="231F20"/>
          <w:spacing w:val="15"/>
          <w:sz w:val="24"/>
        </w:rPr>
        <w:t>概述</w:t>
      </w:r>
      <w:r>
        <w:rPr>
          <w:rFonts w:ascii="Times New Roman" w:eastAsia="Times New Roman"/>
          <w:color w:val="231F20"/>
          <w:spacing w:val="-3"/>
          <w:sz w:val="24"/>
        </w:rPr>
        <w:t>DNA</w:t>
      </w:r>
      <w:r>
        <w:rPr>
          <w:rFonts w:ascii="Times New Roman" w:eastAsia="Times New Roman"/>
          <w:color w:val="231F20"/>
          <w:spacing w:val="-5"/>
          <w:sz w:val="24"/>
        </w:rPr>
        <w:t xml:space="preserve"> </w:t>
      </w:r>
      <w:r>
        <w:rPr>
          <w:color w:val="231F20"/>
          <w:sz w:val="24"/>
        </w:rPr>
        <w:t>分子是由四种脱氧核苷酸构成，通常由两条碱基</w:t>
      </w:r>
      <w:r>
        <w:rPr>
          <w:color w:val="231F20"/>
          <w:spacing w:val="3"/>
          <w:sz w:val="24"/>
        </w:rPr>
        <w:t>互补配对的反向平行长链形成双螺旋结构，碱基的排列顺</w:t>
      </w:r>
      <w:r>
        <w:rPr>
          <w:color w:val="231F20"/>
          <w:sz w:val="24"/>
        </w:rPr>
        <w:t>序编码了遗传信息</w:t>
      </w:r>
    </w:p>
    <w:p>
      <w:pPr>
        <w:pStyle w:val="ListParagraph"/>
        <w:numPr>
          <w:ilvl w:val="2"/>
          <w:numId w:val="33"/>
        </w:numPr>
        <w:tabs>
          <w:tab w:val="left" w:pos="1281"/>
        </w:tabs>
        <w:spacing w:before="0" w:after="0" w:line="304" w:lineRule="exact"/>
        <w:ind w:left="1280" w:right="0" w:hanging="601"/>
        <w:jc w:val="both"/>
        <w:rPr>
          <w:sz w:val="24"/>
        </w:rPr>
      </w:pPr>
      <w:r>
        <w:rPr>
          <w:color w:val="231F20"/>
          <w:spacing w:val="15"/>
          <w:sz w:val="24"/>
        </w:rPr>
        <w:t>概述</w:t>
      </w:r>
      <w:r>
        <w:rPr>
          <w:rFonts w:ascii="Times New Roman" w:eastAsia="Times New Roman"/>
          <w:color w:val="231F20"/>
          <w:spacing w:val="-3"/>
          <w:sz w:val="24"/>
        </w:rPr>
        <w:t>DNA</w:t>
      </w:r>
      <w:r>
        <w:rPr>
          <w:rFonts w:ascii="Times New Roman" w:eastAsia="Times New Roman"/>
          <w:color w:val="231F20"/>
          <w:spacing w:val="-30"/>
          <w:sz w:val="24"/>
        </w:rPr>
        <w:t xml:space="preserve"> </w:t>
      </w:r>
      <w:r>
        <w:rPr>
          <w:color w:val="231F20"/>
          <w:sz w:val="24"/>
        </w:rPr>
        <w:t>分子通过半保留方式进行复制</w:t>
      </w:r>
    </w:p>
    <w:p>
      <w:pPr>
        <w:pStyle w:val="ListParagraph"/>
        <w:numPr>
          <w:ilvl w:val="2"/>
          <w:numId w:val="33"/>
        </w:numPr>
        <w:tabs>
          <w:tab w:val="left" w:pos="1285"/>
        </w:tabs>
        <w:spacing w:before="110" w:after="0" w:line="328" w:lineRule="auto"/>
        <w:ind w:left="1320" w:right="289" w:hanging="640"/>
        <w:jc w:val="left"/>
        <w:rPr>
          <w:sz w:val="24"/>
        </w:rPr>
      </w:pPr>
      <w:r>
        <w:rPr>
          <w:color w:val="231F20"/>
          <w:spacing w:val="17"/>
          <w:sz w:val="24"/>
        </w:rPr>
        <w:t>概述</w:t>
      </w:r>
      <w:r>
        <w:rPr>
          <w:rFonts w:ascii="Times New Roman" w:eastAsia="Times New Roman"/>
          <w:color w:val="231F20"/>
          <w:spacing w:val="-3"/>
          <w:sz w:val="24"/>
        </w:rPr>
        <w:t>DNA</w:t>
      </w:r>
      <w:r>
        <w:rPr>
          <w:rFonts w:ascii="Times New Roman" w:eastAsia="Times New Roman"/>
          <w:color w:val="231F20"/>
          <w:spacing w:val="-30"/>
          <w:sz w:val="24"/>
        </w:rPr>
        <w:t xml:space="preserve"> </w:t>
      </w:r>
      <w:r>
        <w:rPr>
          <w:color w:val="231F20"/>
          <w:spacing w:val="6"/>
          <w:sz w:val="24"/>
        </w:rPr>
        <w:t>分子上的遗传信息通过</w:t>
      </w:r>
      <w:r>
        <w:rPr>
          <w:rFonts w:ascii="Times New Roman" w:eastAsia="Times New Roman"/>
          <w:color w:val="231F20"/>
          <w:spacing w:val="-3"/>
          <w:sz w:val="24"/>
        </w:rPr>
        <w:t>RNA</w:t>
      </w:r>
      <w:r>
        <w:rPr>
          <w:rFonts w:ascii="Times New Roman" w:eastAsia="Times New Roman"/>
          <w:color w:val="231F20"/>
          <w:spacing w:val="-29"/>
          <w:sz w:val="24"/>
        </w:rPr>
        <w:t xml:space="preserve"> </w:t>
      </w:r>
      <w:r>
        <w:rPr>
          <w:color w:val="231F20"/>
          <w:spacing w:val="2"/>
          <w:sz w:val="24"/>
        </w:rPr>
        <w:t xml:space="preserve">指导蛋白质的合成， </w:t>
      </w:r>
      <w:r>
        <w:rPr>
          <w:color w:val="231F20"/>
          <w:spacing w:val="3"/>
          <w:sz w:val="24"/>
        </w:rPr>
        <w:t>细胞分化的本质是基因选择性表达的结果，生物的性状主</w:t>
      </w:r>
      <w:r>
        <w:rPr>
          <w:color w:val="231F20"/>
          <w:sz w:val="24"/>
        </w:rPr>
        <w:t>要通过蛋白质表现</w:t>
      </w:r>
    </w:p>
    <w:p>
      <w:pPr>
        <w:pStyle w:val="ListParagraph"/>
        <w:numPr>
          <w:ilvl w:val="2"/>
          <w:numId w:val="33"/>
        </w:numPr>
        <w:tabs>
          <w:tab w:val="left" w:pos="1281"/>
        </w:tabs>
        <w:spacing w:before="0" w:after="0" w:line="304" w:lineRule="exact"/>
        <w:ind w:left="1280" w:right="0" w:hanging="601"/>
        <w:jc w:val="left"/>
        <w:rPr>
          <w:sz w:val="24"/>
        </w:rPr>
      </w:pPr>
      <w:r>
        <w:rPr>
          <w:color w:val="231F20"/>
          <w:sz w:val="24"/>
        </w:rPr>
        <w:t>概述某些基因中碱基序列不变但表型改变的表观遗传现象</w:t>
      </w:r>
    </w:p>
    <w:p>
      <w:pPr>
        <w:pStyle w:val="ListParagraph"/>
        <w:numPr>
          <w:ilvl w:val="1"/>
          <w:numId w:val="33"/>
        </w:numPr>
        <w:tabs>
          <w:tab w:val="left" w:pos="643"/>
        </w:tabs>
        <w:spacing w:before="113" w:after="0" w:line="328" w:lineRule="auto"/>
        <w:ind w:left="659" w:right="406" w:hanging="440"/>
        <w:jc w:val="left"/>
        <w:rPr>
          <w:sz w:val="24"/>
        </w:rPr>
      </w:pPr>
      <w:r>
        <w:rPr>
          <w:color w:val="231F20"/>
          <w:spacing w:val="-1"/>
          <w:sz w:val="24"/>
        </w:rPr>
        <w:t>有性生殖中基因的分离和重组导致双亲后代的基因组合有多种可</w:t>
      </w:r>
      <w:r>
        <w:rPr>
          <w:color w:val="231F20"/>
          <w:sz w:val="24"/>
        </w:rPr>
        <w:t>能</w:t>
      </w:r>
    </w:p>
    <w:p>
      <w:pPr>
        <w:pStyle w:val="ListParagraph"/>
        <w:numPr>
          <w:ilvl w:val="2"/>
          <w:numId w:val="33"/>
        </w:numPr>
        <w:tabs>
          <w:tab w:val="left" w:pos="1280"/>
        </w:tabs>
        <w:spacing w:before="0" w:after="0" w:line="305" w:lineRule="exact"/>
        <w:ind w:left="1279" w:right="0" w:hanging="601"/>
        <w:jc w:val="left"/>
        <w:rPr>
          <w:sz w:val="24"/>
        </w:rPr>
      </w:pPr>
      <w:r>
        <w:rPr>
          <w:color w:val="231F20"/>
          <w:sz w:val="24"/>
        </w:rPr>
        <w:t>阐明减数分裂产生染色体数量减半的精细胞或卵细胞</w:t>
      </w:r>
    </w:p>
    <w:p>
      <w:pPr>
        <w:pStyle w:val="ListParagraph"/>
        <w:numPr>
          <w:ilvl w:val="2"/>
          <w:numId w:val="33"/>
        </w:numPr>
        <w:tabs>
          <w:tab w:val="left" w:pos="1286"/>
        </w:tabs>
        <w:spacing w:before="112" w:after="0" w:line="328" w:lineRule="auto"/>
        <w:ind w:left="1319" w:right="405" w:hanging="640"/>
        <w:jc w:val="left"/>
        <w:rPr>
          <w:sz w:val="24"/>
        </w:rPr>
      </w:pPr>
      <w:r>
        <w:rPr>
          <w:color w:val="231F20"/>
          <w:spacing w:val="4"/>
          <w:sz w:val="24"/>
        </w:rPr>
        <w:t>说明进行有性生殖的生物体，其遗传信息通过配子传递给</w:t>
      </w:r>
      <w:r>
        <w:rPr>
          <w:color w:val="231F20"/>
          <w:sz w:val="24"/>
        </w:rPr>
        <w:t>子代</w:t>
      </w:r>
    </w:p>
    <w:p>
      <w:pPr>
        <w:pStyle w:val="ListParagraph"/>
        <w:numPr>
          <w:ilvl w:val="2"/>
          <w:numId w:val="33"/>
        </w:numPr>
        <w:tabs>
          <w:tab w:val="left" w:pos="1286"/>
        </w:tabs>
        <w:spacing w:before="0" w:after="0" w:line="328" w:lineRule="auto"/>
        <w:ind w:left="1319" w:right="406" w:hanging="640"/>
        <w:jc w:val="left"/>
        <w:rPr>
          <w:sz w:val="24"/>
        </w:rPr>
      </w:pPr>
      <w:r>
        <w:rPr>
          <w:color w:val="231F20"/>
          <w:spacing w:val="5"/>
          <w:sz w:val="24"/>
        </w:rPr>
        <w:t>阐明有性生殖中基因的分离和自由组合使得子代的基因型</w:t>
      </w:r>
      <w:r>
        <w:rPr>
          <w:color w:val="231F20"/>
          <w:sz w:val="24"/>
        </w:rPr>
        <w:t>和表型有多种可能，并可由此预测子代的遗传性状</w:t>
      </w:r>
    </w:p>
    <w:p>
      <w:pPr>
        <w:pStyle w:val="ListParagraph"/>
        <w:numPr>
          <w:ilvl w:val="2"/>
          <w:numId w:val="33"/>
        </w:numPr>
        <w:tabs>
          <w:tab w:val="left" w:pos="1280"/>
        </w:tabs>
        <w:spacing w:before="0" w:after="0" w:line="305" w:lineRule="exact"/>
        <w:ind w:left="1279" w:right="0" w:hanging="601"/>
        <w:jc w:val="left"/>
        <w:rPr>
          <w:sz w:val="24"/>
        </w:rPr>
      </w:pPr>
      <w:r>
        <w:rPr>
          <w:color w:val="231F20"/>
          <w:sz w:val="24"/>
        </w:rPr>
        <w:t>概述性染色体上的基因传递和性别相关联</w:t>
      </w:r>
    </w:p>
    <w:p>
      <w:pPr>
        <w:pStyle w:val="ListParagraph"/>
        <w:numPr>
          <w:ilvl w:val="1"/>
          <w:numId w:val="33"/>
        </w:numPr>
        <w:tabs>
          <w:tab w:val="left" w:pos="640"/>
        </w:tabs>
        <w:spacing w:before="110" w:after="0" w:line="240" w:lineRule="auto"/>
        <w:ind w:left="639" w:right="0" w:hanging="421"/>
        <w:jc w:val="left"/>
        <w:rPr>
          <w:sz w:val="24"/>
        </w:rPr>
      </w:pPr>
      <w:r>
        <w:rPr>
          <w:color w:val="231F20"/>
          <w:sz w:val="24"/>
        </w:rPr>
        <w:t>由基因突变、染色体变异和基因重组引起的变异是可以遗传的</w:t>
      </w:r>
    </w:p>
    <w:p>
      <w:pPr>
        <w:spacing w:after="0" w:line="240" w:lineRule="auto"/>
        <w:jc w:val="left"/>
        <w:rPr>
          <w:sz w:val="24"/>
        </w:rPr>
        <w:sectPr>
          <w:pgSz w:w="10780" w:h="15090"/>
          <w:pgMar w:top="1260" w:right="1460" w:bottom="1400" w:left="1480" w:header="989" w:footer="1217"/>
          <w:cols w:space="708"/>
        </w:sectPr>
      </w:pPr>
    </w:p>
    <w:p>
      <w:pPr>
        <w:pStyle w:val="BodyText"/>
        <w:spacing w:before="2"/>
        <w:rPr>
          <w:sz w:val="29"/>
        </w:rPr>
      </w:pPr>
    </w:p>
    <w:p>
      <w:pPr>
        <w:pStyle w:val="ListParagraph"/>
        <w:numPr>
          <w:ilvl w:val="2"/>
          <w:numId w:val="33"/>
        </w:numPr>
        <w:tabs>
          <w:tab w:val="left" w:pos="1456"/>
        </w:tabs>
        <w:spacing w:before="75" w:after="0" w:line="328" w:lineRule="auto"/>
        <w:ind w:left="1490" w:right="221" w:hanging="641"/>
        <w:jc w:val="both"/>
        <w:rPr>
          <w:sz w:val="24"/>
        </w:rPr>
      </w:pPr>
      <w:r>
        <w:rPr>
          <w:color w:val="231F20"/>
          <w:spacing w:val="15"/>
          <w:sz w:val="24"/>
        </w:rPr>
        <w:t>概述碱基的替换、插入或缺失会引发基因中碱基序列的</w:t>
      </w:r>
      <w:r>
        <w:rPr>
          <w:color w:val="231F20"/>
          <w:spacing w:val="12"/>
          <w:sz w:val="24"/>
        </w:rPr>
        <w:t>改变</w:t>
      </w:r>
    </w:p>
    <w:p>
      <w:pPr>
        <w:pStyle w:val="ListParagraph"/>
        <w:numPr>
          <w:ilvl w:val="2"/>
          <w:numId w:val="33"/>
        </w:numPr>
        <w:tabs>
          <w:tab w:val="left" w:pos="1457"/>
        </w:tabs>
        <w:spacing w:before="0" w:after="0" w:line="328" w:lineRule="auto"/>
        <w:ind w:left="1490" w:right="235" w:hanging="640"/>
        <w:jc w:val="both"/>
        <w:rPr>
          <w:sz w:val="24"/>
        </w:rPr>
      </w:pPr>
      <w:r>
        <w:rPr>
          <w:color w:val="231F20"/>
          <w:spacing w:val="5"/>
          <w:sz w:val="24"/>
        </w:rPr>
        <w:t>阐明基因中碱基序列的改变有可能导致它所编码的蛋白质</w:t>
      </w:r>
      <w:r>
        <w:rPr>
          <w:color w:val="231F20"/>
          <w:sz w:val="24"/>
        </w:rPr>
        <w:t>及相应的细胞功能发生变化，甚至带来致命的后果</w:t>
      </w:r>
    </w:p>
    <w:p>
      <w:pPr>
        <w:pStyle w:val="ListParagraph"/>
        <w:numPr>
          <w:ilvl w:val="2"/>
          <w:numId w:val="33"/>
        </w:numPr>
        <w:tabs>
          <w:tab w:val="left" w:pos="1453"/>
        </w:tabs>
        <w:spacing w:before="0" w:after="0" w:line="328" w:lineRule="auto"/>
        <w:ind w:left="1490" w:right="241" w:hanging="641"/>
        <w:jc w:val="both"/>
        <w:rPr>
          <w:sz w:val="24"/>
        </w:rPr>
      </w:pPr>
      <w:r>
        <w:rPr>
          <w:color w:val="231F20"/>
          <w:spacing w:val="-7"/>
          <w:sz w:val="24"/>
        </w:rPr>
        <w:t>描述细胞在某些化学物质、射线以及病毒的作用下，基因突</w:t>
      </w:r>
      <w:r>
        <w:rPr>
          <w:color w:val="231F20"/>
          <w:spacing w:val="-6"/>
          <w:sz w:val="24"/>
        </w:rPr>
        <w:t>变概率可能提高，而某些基因突变能导致细胞分裂失控，甚至发生癌变</w:t>
      </w:r>
    </w:p>
    <w:p>
      <w:pPr>
        <w:pStyle w:val="ListParagraph"/>
        <w:numPr>
          <w:ilvl w:val="2"/>
          <w:numId w:val="33"/>
        </w:numPr>
        <w:tabs>
          <w:tab w:val="left" w:pos="1457"/>
        </w:tabs>
        <w:spacing w:before="0" w:after="0" w:line="328" w:lineRule="auto"/>
        <w:ind w:left="1490" w:right="235" w:hanging="640"/>
        <w:jc w:val="both"/>
        <w:rPr>
          <w:sz w:val="24"/>
        </w:rPr>
      </w:pPr>
      <w:r>
        <w:rPr>
          <w:color w:val="231F20"/>
          <w:spacing w:val="4"/>
          <w:sz w:val="24"/>
        </w:rPr>
        <w:t>阐明进行有性生殖的生物在减数分裂过程中，染色体所发</w:t>
      </w:r>
      <w:r>
        <w:rPr>
          <w:color w:val="231F20"/>
          <w:spacing w:val="3"/>
          <w:sz w:val="24"/>
        </w:rPr>
        <w:t>生的自由组合和交叉互换，会导致控制不同性状的基因重</w:t>
      </w:r>
      <w:r>
        <w:rPr>
          <w:color w:val="231F20"/>
          <w:sz w:val="24"/>
        </w:rPr>
        <w:t>组，从而使子代出现变异</w:t>
      </w:r>
    </w:p>
    <w:p>
      <w:pPr>
        <w:pStyle w:val="ListParagraph"/>
        <w:numPr>
          <w:ilvl w:val="2"/>
          <w:numId w:val="33"/>
        </w:numPr>
        <w:tabs>
          <w:tab w:val="left" w:pos="1456"/>
        </w:tabs>
        <w:spacing w:before="0" w:after="0" w:line="328" w:lineRule="auto"/>
        <w:ind w:left="1490" w:right="235" w:hanging="640"/>
        <w:jc w:val="both"/>
        <w:rPr>
          <w:sz w:val="24"/>
        </w:rPr>
      </w:pPr>
      <w:r>
        <w:rPr>
          <w:color w:val="231F20"/>
          <w:spacing w:val="5"/>
          <w:sz w:val="24"/>
        </w:rPr>
        <w:t>举例说明染色体结构和数量的变异都可能导致生物性状的</w:t>
      </w:r>
      <w:r>
        <w:rPr>
          <w:color w:val="231F20"/>
          <w:sz w:val="24"/>
        </w:rPr>
        <w:t>改变甚至死亡</w:t>
      </w:r>
    </w:p>
    <w:p>
      <w:pPr>
        <w:pStyle w:val="ListParagraph"/>
        <w:numPr>
          <w:ilvl w:val="2"/>
          <w:numId w:val="33"/>
        </w:numPr>
        <w:tabs>
          <w:tab w:val="left" w:pos="1451"/>
        </w:tabs>
        <w:spacing w:before="0" w:after="0" w:line="305" w:lineRule="exact"/>
        <w:ind w:left="1450" w:right="0" w:hanging="601"/>
        <w:jc w:val="both"/>
        <w:rPr>
          <w:sz w:val="24"/>
        </w:rPr>
      </w:pPr>
      <w:r>
        <w:rPr>
          <w:color w:val="231F20"/>
          <w:sz w:val="24"/>
        </w:rPr>
        <w:t>举例说明人类遗传病是可以检测和预防的</w:t>
      </w:r>
    </w:p>
    <w:p>
      <w:pPr>
        <w:pStyle w:val="BodyText"/>
        <w:rPr>
          <w:sz w:val="26"/>
        </w:rPr>
      </w:pPr>
    </w:p>
    <w:p>
      <w:pPr>
        <w:pStyle w:val="BodyText"/>
        <w:tabs>
          <w:tab w:val="left" w:pos="1273"/>
        </w:tabs>
        <w:spacing w:before="214"/>
        <w:ind w:left="390"/>
      </w:pPr>
      <w:r>
        <w:rPr>
          <w:color w:val="231F20"/>
        </w:rPr>
        <w:t>概</w:t>
      </w:r>
      <w:r>
        <w:rPr>
          <w:color w:val="231F20"/>
          <w:spacing w:val="30"/>
        </w:rPr>
        <w:t>念</w:t>
      </w:r>
      <w:r>
        <w:rPr>
          <w:rFonts w:ascii="Arial" w:eastAsia="Arial"/>
          <w:color w:val="231F20"/>
        </w:rPr>
        <w:t>4</w:t>
        <w:tab/>
      </w:r>
      <w:r>
        <w:rPr>
          <w:color w:val="231F20"/>
        </w:rPr>
        <w:t>生物的多样性和适应性是进化的结果</w:t>
      </w:r>
    </w:p>
    <w:p>
      <w:pPr>
        <w:pStyle w:val="ListParagraph"/>
        <w:numPr>
          <w:ilvl w:val="1"/>
          <w:numId w:val="32"/>
        </w:numPr>
        <w:tabs>
          <w:tab w:val="left" w:pos="811"/>
        </w:tabs>
        <w:spacing w:before="142" w:after="0" w:line="240" w:lineRule="auto"/>
        <w:ind w:left="810" w:right="0" w:hanging="421"/>
        <w:jc w:val="left"/>
        <w:rPr>
          <w:sz w:val="24"/>
        </w:rPr>
      </w:pPr>
      <w:r>
        <w:rPr>
          <w:color w:val="231F20"/>
          <w:sz w:val="24"/>
        </w:rPr>
        <w:t>地球上的现存物种丰富多样，它们来自共同祖先</w:t>
      </w:r>
    </w:p>
    <w:p>
      <w:pPr>
        <w:pStyle w:val="ListParagraph"/>
        <w:numPr>
          <w:ilvl w:val="2"/>
          <w:numId w:val="32"/>
        </w:numPr>
        <w:tabs>
          <w:tab w:val="left" w:pos="1457"/>
        </w:tabs>
        <w:spacing w:before="113" w:after="0" w:line="328" w:lineRule="auto"/>
        <w:ind w:left="1489" w:right="235" w:hanging="640"/>
        <w:jc w:val="left"/>
        <w:rPr>
          <w:sz w:val="24"/>
        </w:rPr>
      </w:pPr>
      <w:r>
        <w:rPr>
          <w:color w:val="231F20"/>
          <w:spacing w:val="3"/>
          <w:sz w:val="24"/>
        </w:rPr>
        <w:t>尝试通过化石记录、比较解剖学和胚胎学等事实，说明当</w:t>
      </w:r>
      <w:r>
        <w:rPr>
          <w:color w:val="231F20"/>
          <w:sz w:val="24"/>
        </w:rPr>
        <w:t>今生物具有共同的祖先</w:t>
      </w:r>
    </w:p>
    <w:p>
      <w:pPr>
        <w:pStyle w:val="ListParagraph"/>
        <w:numPr>
          <w:ilvl w:val="2"/>
          <w:numId w:val="32"/>
        </w:numPr>
        <w:tabs>
          <w:tab w:val="left" w:pos="1456"/>
        </w:tabs>
        <w:spacing w:before="0" w:after="0" w:line="328" w:lineRule="auto"/>
        <w:ind w:left="1489" w:right="235" w:hanging="640"/>
        <w:jc w:val="left"/>
        <w:rPr>
          <w:sz w:val="24"/>
        </w:rPr>
      </w:pPr>
      <w:r>
        <w:rPr>
          <w:color w:val="231F20"/>
          <w:spacing w:val="4"/>
          <w:sz w:val="24"/>
        </w:rPr>
        <w:t>尝试通过细胞生物学和分子生物学等知识，说明当今生物</w:t>
      </w:r>
      <w:r>
        <w:rPr>
          <w:color w:val="231F20"/>
          <w:sz w:val="24"/>
        </w:rPr>
        <w:t>在新陈代谢、</w:t>
      </w:r>
      <w:r>
        <w:rPr>
          <w:rFonts w:ascii="Times New Roman" w:eastAsia="Times New Roman"/>
          <w:color w:val="231F20"/>
          <w:spacing w:val="-3"/>
          <w:sz w:val="24"/>
        </w:rPr>
        <w:t>DNA</w:t>
      </w:r>
      <w:r>
        <w:rPr>
          <w:rFonts w:ascii="Times New Roman" w:eastAsia="Times New Roman"/>
          <w:color w:val="231F20"/>
          <w:spacing w:val="-31"/>
          <w:sz w:val="24"/>
        </w:rPr>
        <w:t xml:space="preserve"> </w:t>
      </w:r>
      <w:r>
        <w:rPr>
          <w:color w:val="231F20"/>
          <w:sz w:val="24"/>
        </w:rPr>
        <w:t>的结构与功能等方面具有许多共同特征</w:t>
      </w:r>
    </w:p>
    <w:p>
      <w:pPr>
        <w:pStyle w:val="ListParagraph"/>
        <w:numPr>
          <w:ilvl w:val="1"/>
          <w:numId w:val="32"/>
        </w:numPr>
        <w:tabs>
          <w:tab w:val="left" w:pos="810"/>
        </w:tabs>
        <w:spacing w:before="0" w:after="0" w:line="305" w:lineRule="exact"/>
        <w:ind w:left="809" w:right="0" w:hanging="421"/>
        <w:jc w:val="left"/>
        <w:rPr>
          <w:sz w:val="24"/>
        </w:rPr>
      </w:pPr>
      <w:r>
        <w:rPr>
          <w:color w:val="231F20"/>
          <w:sz w:val="24"/>
        </w:rPr>
        <w:t>适应是自然选择的结果</w:t>
      </w:r>
    </w:p>
    <w:p>
      <w:pPr>
        <w:pStyle w:val="ListParagraph"/>
        <w:numPr>
          <w:ilvl w:val="2"/>
          <w:numId w:val="32"/>
        </w:numPr>
        <w:tabs>
          <w:tab w:val="left" w:pos="1456"/>
        </w:tabs>
        <w:spacing w:before="110" w:after="0" w:line="328" w:lineRule="auto"/>
        <w:ind w:left="1489" w:right="236" w:hanging="640"/>
        <w:jc w:val="left"/>
        <w:rPr>
          <w:sz w:val="24"/>
        </w:rPr>
      </w:pPr>
      <w:r>
        <w:rPr>
          <w:color w:val="231F20"/>
          <w:spacing w:val="5"/>
          <w:sz w:val="24"/>
        </w:rPr>
        <w:t>举例说明种群内的某些可遗传变异将赋予个体在特定环境</w:t>
      </w:r>
      <w:r>
        <w:rPr>
          <w:color w:val="231F20"/>
          <w:sz w:val="24"/>
        </w:rPr>
        <w:t>中的生存和繁殖优势</w:t>
      </w:r>
    </w:p>
    <w:p>
      <w:pPr>
        <w:pStyle w:val="ListParagraph"/>
        <w:numPr>
          <w:ilvl w:val="2"/>
          <w:numId w:val="32"/>
        </w:numPr>
        <w:tabs>
          <w:tab w:val="left" w:pos="1450"/>
        </w:tabs>
        <w:spacing w:before="0" w:after="0" w:line="305" w:lineRule="exact"/>
        <w:ind w:left="1449" w:right="0" w:hanging="601"/>
        <w:jc w:val="left"/>
        <w:rPr>
          <w:sz w:val="24"/>
        </w:rPr>
      </w:pPr>
      <w:r>
        <w:rPr>
          <w:color w:val="231F20"/>
          <w:sz w:val="24"/>
        </w:rPr>
        <w:t>阐明具有优势性状的个体在种群中所占比例将会增加</w:t>
      </w:r>
    </w:p>
    <w:p>
      <w:pPr>
        <w:pStyle w:val="ListParagraph"/>
        <w:numPr>
          <w:ilvl w:val="2"/>
          <w:numId w:val="32"/>
        </w:numPr>
        <w:tabs>
          <w:tab w:val="left" w:pos="1450"/>
        </w:tabs>
        <w:spacing w:before="112" w:after="0" w:line="240" w:lineRule="auto"/>
        <w:ind w:left="1449" w:right="0" w:hanging="601"/>
        <w:jc w:val="left"/>
        <w:rPr>
          <w:sz w:val="24"/>
        </w:rPr>
      </w:pPr>
      <w:r>
        <w:rPr>
          <w:color w:val="231F20"/>
          <w:sz w:val="24"/>
        </w:rPr>
        <w:t>说明自然选择促进生物更好地适应特定的生存环境</w:t>
      </w:r>
    </w:p>
    <w:p>
      <w:pPr>
        <w:pStyle w:val="ListParagraph"/>
        <w:numPr>
          <w:ilvl w:val="2"/>
          <w:numId w:val="32"/>
        </w:numPr>
        <w:tabs>
          <w:tab w:val="left" w:pos="1456"/>
        </w:tabs>
        <w:spacing w:before="113" w:after="0" w:line="328" w:lineRule="auto"/>
        <w:ind w:left="1489" w:right="237" w:hanging="640"/>
        <w:jc w:val="left"/>
        <w:rPr>
          <w:sz w:val="24"/>
        </w:rPr>
      </w:pPr>
      <w:r>
        <w:rPr>
          <w:color w:val="231F20"/>
          <w:spacing w:val="4"/>
          <w:sz w:val="24"/>
        </w:rPr>
        <w:t>概述现代生物进化理论以自然选择学说为核心，为地球上</w:t>
      </w:r>
      <w:r>
        <w:rPr>
          <w:color w:val="231F20"/>
          <w:sz w:val="24"/>
        </w:rPr>
        <w:t>的生命进化史提供了科学的解释</w:t>
      </w:r>
    </w:p>
    <w:p>
      <w:pPr>
        <w:pStyle w:val="ListParagraph"/>
        <w:numPr>
          <w:ilvl w:val="2"/>
          <w:numId w:val="32"/>
        </w:numPr>
        <w:tabs>
          <w:tab w:val="left" w:pos="1450"/>
        </w:tabs>
        <w:spacing w:before="0" w:after="0" w:line="305" w:lineRule="exact"/>
        <w:ind w:left="1449" w:right="0" w:hanging="601"/>
        <w:jc w:val="left"/>
        <w:rPr>
          <w:sz w:val="24"/>
        </w:rPr>
      </w:pPr>
      <w:r>
        <w:rPr>
          <w:color w:val="231F20"/>
          <w:sz w:val="24"/>
        </w:rPr>
        <w:t>阐述变异、选择和隔离可导致新物种形成</w:t>
      </w:r>
    </w:p>
    <w:p>
      <w:pPr>
        <w:spacing w:after="0" w:line="305" w:lineRule="exact"/>
        <w:jc w:val="left"/>
        <w:rPr>
          <w:sz w:val="24"/>
        </w:rPr>
        <w:sectPr>
          <w:pgSz w:w="10780" w:h="15090"/>
          <w:pgMar w:top="1260" w:right="1460" w:bottom="1400" w:left="1480" w:header="1029" w:footer="1217"/>
          <w:cols w:space="708"/>
        </w:sectPr>
      </w:pPr>
    </w:p>
    <w:p>
      <w:pPr>
        <w:pStyle w:val="BodyText"/>
        <w:rPr>
          <w:sz w:val="20"/>
        </w:rPr>
      </w:pPr>
    </w:p>
    <w:p>
      <w:pPr>
        <w:pStyle w:val="BodyText"/>
        <w:spacing w:before="204"/>
        <w:ind w:left="580"/>
      </w:pPr>
      <w:r>
        <w:rPr>
          <w:color w:val="231F20"/>
        </w:rPr>
        <w:t>【教学提示】</w:t>
      </w:r>
    </w:p>
    <w:p>
      <w:pPr>
        <w:pStyle w:val="BodyText"/>
        <w:spacing w:before="111" w:line="328" w:lineRule="auto"/>
        <w:ind w:left="220" w:right="288" w:firstLine="480"/>
      </w:pPr>
      <w:r>
        <w:rPr>
          <w:color w:val="231F20"/>
        </w:rPr>
        <w:t>在本模块的教学中，教师应创造条件让学生参与调查、观察、实验和制作等活动，引导学生从生活经验中发现和提出问题，学习有关概念、原理、规律和模型，应用有关知识分析和解决实践中的问题， 体验科学家探索生物生殖、遗传和进化奥秘的过程。基于近年来基因组研究的进展，教师可介绍通过生物信息学方法获得筛查遗传病的技术。</w:t>
      </w:r>
    </w:p>
    <w:p>
      <w:pPr>
        <w:pStyle w:val="BodyText"/>
        <w:spacing w:line="328" w:lineRule="auto"/>
        <w:ind w:left="221" w:right="289" w:firstLine="479"/>
        <w:jc w:val="both"/>
      </w:pPr>
      <w:r>
        <w:rPr>
          <w:color w:val="231F20"/>
          <w:spacing w:val="3"/>
        </w:rPr>
        <w:t>为帮助学生达成对概念</w:t>
      </w:r>
      <w:r>
        <w:rPr>
          <w:rFonts w:ascii="Times New Roman" w:eastAsia="Times New Roman"/>
          <w:color w:val="231F20"/>
        </w:rPr>
        <w:t xml:space="preserve">3 </w:t>
      </w:r>
      <w:r>
        <w:rPr>
          <w:color w:val="231F20"/>
        </w:rPr>
        <w:t>的理解，促进学生生物学学科核心素养</w:t>
      </w:r>
      <w:r>
        <w:rPr>
          <w:color w:val="231F20"/>
          <w:spacing w:val="-3"/>
        </w:rPr>
        <w:t>的提升，应开展下列教学活动：</w:t>
      </w:r>
      <w:r>
        <w:rPr>
          <w:color w:val="231F20"/>
          <w:spacing w:val="1"/>
        </w:rPr>
        <w:t>（</w:t>
      </w:r>
      <w:r>
        <w:rPr>
          <w:rFonts w:ascii="Times New Roman" w:eastAsia="Times New Roman"/>
          <w:color w:val="231F20"/>
        </w:rPr>
        <w:t>1</w:t>
      </w:r>
      <w:r>
        <w:rPr>
          <w:color w:val="231F20"/>
          <w:spacing w:val="10"/>
        </w:rPr>
        <w:t>）</w:t>
      </w:r>
      <w:r>
        <w:rPr>
          <w:color w:val="231F20"/>
          <w:spacing w:val="6"/>
        </w:rPr>
        <w:t>运用模型、装片或视频观察模</w:t>
      </w:r>
      <w:r>
        <w:rPr>
          <w:color w:val="231F20"/>
          <w:spacing w:val="-4"/>
        </w:rPr>
        <w:t>拟减数分裂过程中染色体的变化；</w:t>
      </w:r>
      <w:r>
        <w:rPr>
          <w:color w:val="231F20"/>
        </w:rPr>
        <w:t>（</w:t>
      </w:r>
      <w:r>
        <w:rPr>
          <w:rFonts w:ascii="Times New Roman" w:eastAsia="Times New Roman"/>
          <w:color w:val="231F20"/>
        </w:rPr>
        <w:t>2</w:t>
      </w:r>
      <w:r>
        <w:rPr>
          <w:color w:val="231F20"/>
          <w:spacing w:val="6"/>
        </w:rPr>
        <w:t>）</w:t>
      </w:r>
      <w:r>
        <w:rPr>
          <w:color w:val="231F20"/>
          <w:spacing w:val="19"/>
        </w:rPr>
        <w:t>搜集</w:t>
      </w:r>
      <w:r>
        <w:rPr>
          <w:rFonts w:ascii="Times New Roman" w:eastAsia="Times New Roman"/>
          <w:color w:val="231F20"/>
          <w:w w:val="99"/>
        </w:rPr>
        <w:t>D</w:t>
      </w:r>
      <w:r>
        <w:rPr>
          <w:rFonts w:ascii="Times New Roman" w:eastAsia="Times New Roman"/>
          <w:color w:val="231F20"/>
          <w:spacing w:val="-9"/>
          <w:w w:val="99"/>
        </w:rPr>
        <w:t>N</w:t>
      </w:r>
      <w:r>
        <w:rPr>
          <w:rFonts w:ascii="Times New Roman" w:eastAsia="Times New Roman"/>
          <w:color w:val="231F20"/>
          <w:w w:val="99"/>
        </w:rPr>
        <w:t>A</w:t>
      </w:r>
      <w:r>
        <w:rPr>
          <w:rFonts w:ascii="Times New Roman" w:eastAsia="Times New Roman"/>
          <w:color w:val="231F20"/>
        </w:rPr>
        <w:t xml:space="preserve"> </w:t>
      </w:r>
      <w:r>
        <w:rPr>
          <w:color w:val="231F20"/>
          <w:spacing w:val="6"/>
        </w:rPr>
        <w:t>分子结构模型建立</w:t>
      </w:r>
      <w:r>
        <w:rPr>
          <w:color w:val="231F20"/>
          <w:spacing w:val="-9"/>
        </w:rPr>
        <w:t>过程的资料并进行讨论和交流；</w:t>
      </w:r>
      <w:r>
        <w:rPr>
          <w:color w:val="231F20"/>
        </w:rPr>
        <w:t>（</w:t>
      </w:r>
      <w:r>
        <w:rPr>
          <w:rFonts w:ascii="Times New Roman" w:eastAsia="Times New Roman"/>
          <w:color w:val="231F20"/>
        </w:rPr>
        <w:t>3</w:t>
      </w:r>
      <w:r>
        <w:rPr>
          <w:color w:val="231F20"/>
          <w:spacing w:val="1"/>
        </w:rPr>
        <w:t>）</w:t>
      </w:r>
      <w:r>
        <w:rPr>
          <w:color w:val="231F20"/>
          <w:spacing w:val="15"/>
        </w:rPr>
        <w:t>制作</w:t>
      </w:r>
      <w:r>
        <w:rPr>
          <w:rFonts w:ascii="Times New Roman" w:eastAsia="Times New Roman"/>
          <w:color w:val="231F20"/>
          <w:w w:val="99"/>
        </w:rPr>
        <w:t>D</w:t>
      </w:r>
      <w:r>
        <w:rPr>
          <w:rFonts w:ascii="Times New Roman" w:eastAsia="Times New Roman"/>
          <w:color w:val="231F20"/>
          <w:spacing w:val="-9"/>
          <w:w w:val="99"/>
        </w:rPr>
        <w:t>N</w:t>
      </w:r>
      <w:r>
        <w:rPr>
          <w:rFonts w:ascii="Times New Roman" w:eastAsia="Times New Roman"/>
          <w:color w:val="231F20"/>
          <w:w w:val="99"/>
        </w:rPr>
        <w:t>A</w:t>
      </w:r>
      <w:r>
        <w:rPr>
          <w:rFonts w:ascii="Times New Roman" w:eastAsia="Times New Roman"/>
          <w:color w:val="231F20"/>
        </w:rPr>
        <w:t xml:space="preserve"> </w:t>
      </w:r>
      <w:r>
        <w:rPr>
          <w:color w:val="231F20"/>
          <w:spacing w:val="-2"/>
        </w:rPr>
        <w:t>分子双螺旋结构模型；</w:t>
      </w:r>
    </w:p>
    <w:p>
      <w:pPr>
        <w:pStyle w:val="ListParagraph"/>
        <w:numPr>
          <w:ilvl w:val="0"/>
          <w:numId w:val="31"/>
        </w:numPr>
        <w:tabs>
          <w:tab w:val="left" w:pos="703"/>
        </w:tabs>
        <w:spacing w:before="0" w:after="0" w:line="328" w:lineRule="auto"/>
        <w:ind w:left="221" w:right="408" w:hanging="120"/>
        <w:jc w:val="left"/>
        <w:rPr>
          <w:sz w:val="24"/>
        </w:rPr>
      </w:pPr>
      <w:r>
        <w:rPr>
          <w:color w:val="231F20"/>
          <w:spacing w:val="-8"/>
          <w:sz w:val="24"/>
        </w:rPr>
        <w:t>模拟植物或动物性状分离的杂交实验；</w:t>
      </w:r>
      <w:r>
        <w:rPr>
          <w:color w:val="231F20"/>
          <w:sz w:val="24"/>
        </w:rPr>
        <w:t>（</w:t>
      </w:r>
      <w:r>
        <w:rPr>
          <w:rFonts w:ascii="Times New Roman" w:eastAsia="Times New Roman"/>
          <w:color w:val="231F20"/>
          <w:sz w:val="24"/>
        </w:rPr>
        <w:t>5</w:t>
      </w:r>
      <w:r>
        <w:rPr>
          <w:color w:val="231F20"/>
          <w:sz w:val="24"/>
        </w:rPr>
        <w:t>）</w:t>
      </w:r>
      <w:r>
        <w:rPr>
          <w:color w:val="231F20"/>
          <w:spacing w:val="-2"/>
          <w:sz w:val="24"/>
        </w:rPr>
        <w:t>调查常见的人类遗传</w:t>
      </w:r>
      <w:r>
        <w:rPr>
          <w:color w:val="231F20"/>
          <w:sz w:val="24"/>
        </w:rPr>
        <w:t>病并探讨其预防措施。</w:t>
      </w:r>
    </w:p>
    <w:p>
      <w:pPr>
        <w:pStyle w:val="BodyText"/>
        <w:spacing w:line="328" w:lineRule="auto"/>
        <w:ind w:left="221" w:right="287" w:firstLine="479"/>
      </w:pPr>
      <w:r>
        <w:rPr>
          <w:color w:val="231F20"/>
        </w:rPr>
        <w:t>为帮助学生达成对概念</w:t>
      </w:r>
      <w:r>
        <w:rPr>
          <w:rFonts w:ascii="Times New Roman" w:eastAsia="Times New Roman"/>
          <w:color w:val="231F20"/>
        </w:rPr>
        <w:t xml:space="preserve">4 </w:t>
      </w:r>
      <w:r>
        <w:rPr>
          <w:color w:val="231F20"/>
        </w:rPr>
        <w:t>的理解，促进学生生物学学科核心素养的提升，应开展下列教学活动：（</w:t>
      </w:r>
      <w:r>
        <w:rPr>
          <w:rFonts w:ascii="Times New Roman" w:eastAsia="Times New Roman"/>
          <w:color w:val="231F20"/>
        </w:rPr>
        <w:t>1</w:t>
      </w:r>
      <w:r>
        <w:rPr>
          <w:color w:val="231F20"/>
        </w:rPr>
        <w:t>）搜集生物进化理论发展的资料，探讨生物进化观点对人们思想观念的影响；（</w:t>
      </w:r>
      <w:r>
        <w:rPr>
          <w:rFonts w:ascii="Times New Roman" w:eastAsia="Times New Roman"/>
          <w:color w:val="231F20"/>
        </w:rPr>
        <w:t>2</w:t>
      </w:r>
      <w:r>
        <w:rPr>
          <w:color w:val="231F20"/>
        </w:rPr>
        <w:t>）用数学方法讨论自然选择使种群的基因频率发生变化；（</w:t>
      </w:r>
      <w:r>
        <w:rPr>
          <w:rFonts w:ascii="Times New Roman" w:eastAsia="Times New Roman"/>
          <w:color w:val="231F20"/>
        </w:rPr>
        <w:t>3</w:t>
      </w:r>
      <w:r>
        <w:rPr>
          <w:color w:val="231F20"/>
        </w:rPr>
        <w:t>）探讨耐药菌的出现与抗生素滥用的关系。</w:t>
      </w:r>
    </w:p>
    <w:p>
      <w:pPr>
        <w:pStyle w:val="BodyText"/>
        <w:spacing w:before="3"/>
        <w:rPr>
          <w:sz w:val="31"/>
        </w:rPr>
      </w:pPr>
    </w:p>
    <w:p>
      <w:pPr>
        <w:pStyle w:val="BodyText"/>
        <w:ind w:left="581"/>
      </w:pPr>
      <w:r>
        <w:rPr>
          <w:color w:val="231F20"/>
        </w:rPr>
        <w:t>【学业要求】</w:t>
      </w:r>
    </w:p>
    <w:p>
      <w:pPr>
        <w:pStyle w:val="BodyText"/>
        <w:spacing w:before="111"/>
        <w:ind w:left="701"/>
      </w:pPr>
      <w:r>
        <w:rPr>
          <w:color w:val="231F20"/>
        </w:rPr>
        <w:t>完成本模块学习后，学生应该能够：</w:t>
      </w:r>
    </w:p>
    <w:p>
      <w:pPr>
        <w:pStyle w:val="ListParagraph"/>
        <w:numPr>
          <w:ilvl w:val="1"/>
          <w:numId w:val="31"/>
        </w:numPr>
        <w:tabs>
          <w:tab w:val="left" w:pos="887"/>
        </w:tabs>
        <w:spacing w:before="112" w:after="0" w:line="328" w:lineRule="auto"/>
        <w:ind w:left="220" w:right="399" w:firstLine="480"/>
        <w:jc w:val="left"/>
        <w:rPr>
          <w:sz w:val="24"/>
        </w:rPr>
      </w:pPr>
      <w:r>
        <w:rPr>
          <w:color w:val="231F20"/>
          <w:spacing w:val="18"/>
          <w:sz w:val="24"/>
        </w:rPr>
        <w:t>结合</w:t>
      </w:r>
      <w:r>
        <w:rPr>
          <w:rFonts w:ascii="Times New Roman" w:eastAsia="Times New Roman" w:hAnsi="Times New Roman"/>
          <w:color w:val="231F20"/>
          <w:spacing w:val="-3"/>
          <w:sz w:val="24"/>
        </w:rPr>
        <w:t>DNA</w:t>
      </w:r>
      <w:r>
        <w:rPr>
          <w:rFonts w:ascii="Times New Roman" w:eastAsia="Times New Roman" w:hAnsi="Times New Roman"/>
          <w:color w:val="231F20"/>
          <w:spacing w:val="-29"/>
          <w:sz w:val="24"/>
        </w:rPr>
        <w:t xml:space="preserve"> </w:t>
      </w:r>
      <w:r>
        <w:rPr>
          <w:color w:val="231F20"/>
          <w:spacing w:val="6"/>
          <w:sz w:val="24"/>
        </w:rPr>
        <w:t>双螺旋结构模型，阐明</w:t>
      </w:r>
      <w:r>
        <w:rPr>
          <w:rFonts w:ascii="Times New Roman" w:eastAsia="Times New Roman" w:hAnsi="Times New Roman"/>
          <w:color w:val="231F20"/>
          <w:spacing w:val="-3"/>
          <w:sz w:val="24"/>
        </w:rPr>
        <w:t>DNA</w:t>
      </w:r>
      <w:r>
        <w:rPr>
          <w:rFonts w:ascii="Times New Roman" w:eastAsia="Times New Roman" w:hAnsi="Times New Roman"/>
          <w:color w:val="231F20"/>
          <w:spacing w:val="-28"/>
          <w:sz w:val="24"/>
        </w:rPr>
        <w:t xml:space="preserve"> </w:t>
      </w:r>
      <w:r>
        <w:rPr>
          <w:color w:val="231F20"/>
          <w:spacing w:val="5"/>
          <w:sz w:val="24"/>
        </w:rPr>
        <w:t>分子作为遗传物质所具</w:t>
      </w:r>
      <w:r>
        <w:rPr>
          <w:color w:val="231F20"/>
          <w:spacing w:val="4"/>
          <w:sz w:val="24"/>
        </w:rPr>
        <w:t>有的特征，以及通过复制、转录、翻译等过程传递和表达遗传信息</w:t>
      </w:r>
    </w:p>
    <w:p>
      <w:pPr>
        <w:pStyle w:val="BodyText"/>
        <w:spacing w:line="306" w:lineRule="exact"/>
        <w:ind w:left="100"/>
      </w:pPr>
      <w:r>
        <w:rPr>
          <w:color w:val="231F20"/>
        </w:rPr>
        <w:t>（生命观念、科学思维</w:t>
      </w:r>
      <w:r>
        <w:rPr>
          <w:color w:val="231F20"/>
          <w:spacing w:val="-90"/>
        </w:rPr>
        <w:t>）；</w:t>
      </w:r>
    </w:p>
    <w:p>
      <w:pPr>
        <w:pStyle w:val="ListParagraph"/>
        <w:numPr>
          <w:ilvl w:val="1"/>
          <w:numId w:val="31"/>
        </w:numPr>
        <w:tabs>
          <w:tab w:val="left" w:pos="884"/>
        </w:tabs>
        <w:spacing w:before="112" w:after="0" w:line="328" w:lineRule="auto"/>
        <w:ind w:left="220" w:right="404" w:firstLine="480"/>
        <w:jc w:val="left"/>
        <w:rPr>
          <w:sz w:val="24"/>
        </w:rPr>
      </w:pPr>
      <w:r>
        <w:rPr>
          <w:color w:val="231F20"/>
          <w:sz w:val="24"/>
        </w:rPr>
        <w:t>运用细胞减数分裂的模型，阐明遗传信息在有性生殖中的传递规律（生命观念、科学思维</w:t>
      </w:r>
      <w:r>
        <w:rPr>
          <w:color w:val="231F20"/>
          <w:spacing w:val="-90"/>
          <w:sz w:val="24"/>
        </w:rPr>
        <w:t>）；</w:t>
      </w:r>
    </w:p>
    <w:p>
      <w:pPr>
        <w:pStyle w:val="ListParagraph"/>
        <w:numPr>
          <w:ilvl w:val="1"/>
          <w:numId w:val="31"/>
        </w:numPr>
        <w:tabs>
          <w:tab w:val="left" w:pos="884"/>
        </w:tabs>
        <w:spacing w:before="0" w:after="0" w:line="328" w:lineRule="auto"/>
        <w:ind w:left="220" w:right="406" w:firstLine="480"/>
        <w:jc w:val="left"/>
        <w:rPr>
          <w:sz w:val="24"/>
        </w:rPr>
      </w:pPr>
      <w:r>
        <w:rPr>
          <w:color w:val="231F20"/>
          <w:sz w:val="24"/>
        </w:rPr>
        <w:t>基于证据，论证可遗传的变异来自基因重组、基因突变和染色体变异（科学思维、科学探究</w:t>
      </w:r>
      <w:r>
        <w:rPr>
          <w:color w:val="231F20"/>
          <w:spacing w:val="-90"/>
          <w:sz w:val="24"/>
        </w:rPr>
        <w:t>）；</w:t>
      </w:r>
    </w:p>
    <w:p>
      <w:pPr>
        <w:spacing w:after="0" w:line="328" w:lineRule="auto"/>
        <w:jc w:val="left"/>
        <w:rPr>
          <w:sz w:val="24"/>
        </w:rPr>
        <w:sectPr>
          <w:pgSz w:w="10780" w:h="15090"/>
          <w:pgMar w:top="1260" w:right="1460" w:bottom="1400" w:left="1480" w:header="989" w:footer="1217"/>
          <w:cols w:space="708"/>
        </w:sectPr>
      </w:pPr>
    </w:p>
    <w:p>
      <w:pPr>
        <w:pStyle w:val="BodyText"/>
        <w:spacing w:before="10"/>
        <w:rPr>
          <w:sz w:val="29"/>
        </w:rPr>
      </w:pPr>
    </w:p>
    <w:p>
      <w:pPr>
        <w:pStyle w:val="ListParagraph"/>
        <w:numPr>
          <w:ilvl w:val="2"/>
          <w:numId w:val="31"/>
        </w:numPr>
        <w:tabs>
          <w:tab w:val="left" w:pos="1054"/>
        </w:tabs>
        <w:spacing w:before="67" w:after="0" w:line="328" w:lineRule="auto"/>
        <w:ind w:left="390" w:right="234" w:firstLine="480"/>
        <w:jc w:val="both"/>
        <w:rPr>
          <w:sz w:val="24"/>
        </w:rPr>
      </w:pPr>
      <w:r>
        <w:rPr>
          <w:color w:val="231F20"/>
          <w:sz w:val="24"/>
        </w:rPr>
        <w:t>运用统计与概率的相关知识，解释并预测种群内某一遗传性状的分布及变化（科学思维、科学探究</w:t>
      </w:r>
      <w:r>
        <w:rPr>
          <w:color w:val="231F20"/>
          <w:spacing w:val="-90"/>
          <w:sz w:val="24"/>
        </w:rPr>
        <w:t>）；</w:t>
      </w:r>
    </w:p>
    <w:p>
      <w:pPr>
        <w:pStyle w:val="ListParagraph"/>
        <w:numPr>
          <w:ilvl w:val="2"/>
          <w:numId w:val="31"/>
        </w:numPr>
        <w:tabs>
          <w:tab w:val="left" w:pos="1054"/>
        </w:tabs>
        <w:spacing w:before="0" w:after="0" w:line="328" w:lineRule="auto"/>
        <w:ind w:left="390" w:right="234" w:firstLine="480"/>
        <w:jc w:val="both"/>
        <w:rPr>
          <w:sz w:val="24"/>
        </w:rPr>
      </w:pPr>
      <w:r>
        <w:rPr>
          <w:color w:val="231F20"/>
          <w:sz w:val="24"/>
        </w:rPr>
        <w:t>运用遗传与变异的观点，解释常规遗传学技术在现实生产生活中的应用（生命观念、社会责任</w:t>
      </w:r>
      <w:r>
        <w:rPr>
          <w:color w:val="231F20"/>
          <w:spacing w:val="-45"/>
          <w:sz w:val="24"/>
        </w:rPr>
        <w:t>）；</w:t>
      </w:r>
    </w:p>
    <w:p>
      <w:pPr>
        <w:pStyle w:val="ListParagraph"/>
        <w:numPr>
          <w:ilvl w:val="2"/>
          <w:numId w:val="31"/>
        </w:numPr>
        <w:tabs>
          <w:tab w:val="left" w:pos="1054"/>
        </w:tabs>
        <w:spacing w:before="0" w:after="0" w:line="328" w:lineRule="auto"/>
        <w:ind w:left="390" w:right="234" w:firstLine="480"/>
        <w:jc w:val="both"/>
        <w:rPr>
          <w:sz w:val="24"/>
        </w:rPr>
      </w:pPr>
      <w:r>
        <w:rPr>
          <w:color w:val="231F20"/>
          <w:sz w:val="24"/>
        </w:rPr>
        <w:t>分析不同类型的证据，探讨地球上现存的丰富多样的物种是由共同祖先长期进化形成的（生命观念、科学思维、社会责任</w:t>
      </w:r>
      <w:r>
        <w:rPr>
          <w:color w:val="231F20"/>
          <w:spacing w:val="-90"/>
          <w:sz w:val="24"/>
        </w:rPr>
        <w:t>）；</w:t>
      </w:r>
    </w:p>
    <w:p>
      <w:pPr>
        <w:pStyle w:val="ListParagraph"/>
        <w:numPr>
          <w:ilvl w:val="2"/>
          <w:numId w:val="31"/>
        </w:numPr>
        <w:tabs>
          <w:tab w:val="left" w:pos="1054"/>
        </w:tabs>
        <w:spacing w:before="0" w:after="0" w:line="328" w:lineRule="auto"/>
        <w:ind w:left="390" w:right="220" w:firstLine="480"/>
        <w:jc w:val="both"/>
        <w:rPr>
          <w:sz w:val="24"/>
        </w:rPr>
      </w:pPr>
      <w:r>
        <w:rPr>
          <w:color w:val="231F20"/>
          <w:sz w:val="24"/>
        </w:rPr>
        <w:t>基于可遗传的变异，以及变异可能带来的生存与繁殖优势等方</w:t>
      </w:r>
      <w:r>
        <w:rPr>
          <w:color w:val="231F20"/>
          <w:spacing w:val="15"/>
          <w:sz w:val="24"/>
        </w:rPr>
        <w:t>面的实例，解释生物的适应是自然选择的结果</w:t>
      </w:r>
      <w:r>
        <w:rPr>
          <w:color w:val="231F20"/>
          <w:spacing w:val="18"/>
          <w:sz w:val="24"/>
        </w:rPr>
        <w:t>（</w:t>
      </w:r>
      <w:r>
        <w:rPr>
          <w:color w:val="231F20"/>
          <w:spacing w:val="16"/>
          <w:sz w:val="24"/>
        </w:rPr>
        <w:t>生命观念、科学</w:t>
      </w:r>
      <w:r>
        <w:rPr>
          <w:color w:val="231F20"/>
          <w:spacing w:val="12"/>
          <w:sz w:val="24"/>
        </w:rPr>
        <w:t>思维</w:t>
      </w:r>
      <w:r>
        <w:rPr>
          <w:color w:val="231F20"/>
          <w:spacing w:val="-78"/>
          <w:sz w:val="24"/>
        </w:rPr>
        <w:t>）。</w:t>
      </w:r>
    </w:p>
    <w:p>
      <w:pPr>
        <w:pStyle w:val="BodyText"/>
        <w:rPr>
          <w:sz w:val="26"/>
        </w:rPr>
      </w:pPr>
    </w:p>
    <w:p>
      <w:pPr>
        <w:pStyle w:val="BodyText"/>
        <w:spacing w:before="3"/>
        <w:rPr>
          <w:sz w:val="27"/>
        </w:rPr>
      </w:pPr>
    </w:p>
    <w:p>
      <w:pPr>
        <w:pStyle w:val="Heading2"/>
        <w:spacing w:before="1"/>
      </w:pPr>
      <w:r>
        <w:rPr>
          <w:color w:val="231F20"/>
        </w:rPr>
        <w:t>（二）选择性必修课程</w:t>
      </w:r>
    </w:p>
    <w:p>
      <w:pPr>
        <w:pStyle w:val="BodyText"/>
        <w:rPr>
          <w:sz w:val="20"/>
        </w:rPr>
      </w:pPr>
    </w:p>
    <w:p>
      <w:pPr>
        <w:pStyle w:val="BodyText"/>
        <w:spacing w:before="6" w:after="1"/>
        <w:rPr>
          <w:sz w:val="13"/>
        </w:rPr>
      </w:pPr>
    </w:p>
    <w:tbl>
      <w:tblPr>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493"/>
        <w:gridCol w:w="2523"/>
        <w:gridCol w:w="4175"/>
      </w:tblGrid>
      <w:tr>
        <w:tblPrEx>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Ex>
        <w:trPr>
          <w:trHeight w:val="157"/>
          <w:jc w:val="left"/>
        </w:trPr>
        <w:tc>
          <w:tcPr>
            <w:tcW w:w="493" w:type="dxa"/>
            <w:tcBorders>
              <w:top w:val="nil"/>
              <w:left w:val="nil"/>
              <w:bottom w:val="dotted" w:sz="12" w:space="0" w:color="231F20"/>
            </w:tcBorders>
          </w:tcPr>
          <w:p>
            <w:pPr>
              <w:pStyle w:val="TableParagraph"/>
              <w:rPr>
                <w:rFonts w:ascii="Times New Roman"/>
                <w:sz w:val="10"/>
              </w:rPr>
            </w:pPr>
          </w:p>
        </w:tc>
        <w:tc>
          <w:tcPr>
            <w:tcW w:w="2523" w:type="dxa"/>
            <w:tcBorders>
              <w:bottom w:val="dotted" w:sz="12" w:space="0" w:color="231F20"/>
            </w:tcBorders>
          </w:tcPr>
          <w:p>
            <w:pPr>
              <w:pStyle w:val="TableParagraph"/>
              <w:tabs>
                <w:tab w:val="left" w:pos="1052"/>
              </w:tabs>
              <w:spacing w:line="137" w:lineRule="exact"/>
              <w:ind w:left="172"/>
              <w:rPr>
                <w:sz w:val="26"/>
              </w:rPr>
            </w:pPr>
            <w:r>
              <w:rPr>
                <w:color w:val="231F20"/>
                <w:spacing w:val="-16"/>
                <w:sz w:val="26"/>
              </w:rPr>
              <w:t>模</w:t>
            </w:r>
            <w:r>
              <w:rPr>
                <w:color w:val="231F20"/>
                <w:spacing w:val="16"/>
                <w:sz w:val="26"/>
              </w:rPr>
              <w:t>块</w:t>
            </w:r>
            <w:r>
              <w:rPr>
                <w:rFonts w:ascii="Times New Roman" w:eastAsia="Times New Roman"/>
                <w:color w:val="231F20"/>
                <w:sz w:val="26"/>
              </w:rPr>
              <w:t>1</w:t>
              <w:tab/>
            </w:r>
            <w:r>
              <w:rPr>
                <w:color w:val="231F20"/>
                <w:spacing w:val="-16"/>
                <w:sz w:val="26"/>
              </w:rPr>
              <w:t>稳态与调节</w:t>
            </w:r>
          </w:p>
        </w:tc>
        <w:tc>
          <w:tcPr>
            <w:tcW w:w="4175" w:type="dxa"/>
            <w:tcBorders>
              <w:top w:val="nil"/>
              <w:bottom w:val="dotted" w:sz="12" w:space="0" w:color="231F20"/>
              <w:right w:val="nil"/>
            </w:tcBorders>
          </w:tcPr>
          <w:p>
            <w:pPr>
              <w:pStyle w:val="TableParagraph"/>
              <w:rPr>
                <w:rFonts w:ascii="Times New Roman"/>
                <w:sz w:val="10"/>
              </w:rPr>
            </w:pPr>
          </w:p>
        </w:tc>
      </w:tr>
      <w:tr>
        <w:tblPrEx>
          <w:tblW w:w="0" w:type="auto"/>
          <w:jc w:val="left"/>
          <w:tblInd w:w="408" w:type="dxa"/>
          <w:tblLayout w:type="fixed"/>
          <w:tblCellMar>
            <w:top w:w="0" w:type="dxa"/>
            <w:left w:w="0" w:type="dxa"/>
            <w:bottom w:w="0" w:type="dxa"/>
            <w:right w:w="0" w:type="dxa"/>
          </w:tblCellMar>
          <w:tblLook w:val="01E0"/>
        </w:tblPrEx>
        <w:trPr>
          <w:trHeight w:val="157"/>
          <w:jc w:val="left"/>
        </w:trPr>
        <w:tc>
          <w:tcPr>
            <w:tcW w:w="493" w:type="dxa"/>
            <w:tcBorders>
              <w:top w:val="dotted" w:sz="12" w:space="0" w:color="231F20"/>
              <w:left w:val="nil"/>
              <w:bottom w:val="nil"/>
            </w:tcBorders>
          </w:tcPr>
          <w:p>
            <w:pPr>
              <w:pStyle w:val="TableParagraph"/>
              <w:rPr>
                <w:rFonts w:ascii="Times New Roman"/>
                <w:sz w:val="10"/>
              </w:rPr>
            </w:pPr>
          </w:p>
        </w:tc>
        <w:tc>
          <w:tcPr>
            <w:tcW w:w="2523" w:type="dxa"/>
            <w:tcBorders>
              <w:top w:val="dotted" w:sz="12" w:space="0" w:color="231F20"/>
            </w:tcBorders>
          </w:tcPr>
          <w:p>
            <w:pPr>
              <w:pStyle w:val="TableParagraph"/>
              <w:rPr>
                <w:rFonts w:ascii="Times New Roman"/>
                <w:sz w:val="10"/>
              </w:rPr>
            </w:pPr>
          </w:p>
        </w:tc>
        <w:tc>
          <w:tcPr>
            <w:tcW w:w="4175" w:type="dxa"/>
            <w:tcBorders>
              <w:top w:val="dotted" w:sz="12" w:space="0" w:color="231F20"/>
              <w:bottom w:val="nil"/>
              <w:right w:val="nil"/>
            </w:tcBorders>
          </w:tcPr>
          <w:p>
            <w:pPr>
              <w:pStyle w:val="TableParagraph"/>
              <w:rPr>
                <w:rFonts w:ascii="Times New Roman"/>
                <w:sz w:val="10"/>
              </w:rPr>
            </w:pPr>
          </w:p>
        </w:tc>
      </w:tr>
    </w:tbl>
    <w:p>
      <w:pPr>
        <w:pStyle w:val="BodyText"/>
        <w:spacing w:before="1"/>
        <w:rPr>
          <w:sz w:val="7"/>
        </w:rPr>
      </w:pPr>
    </w:p>
    <w:p>
      <w:pPr>
        <w:pStyle w:val="Heading4"/>
        <w:spacing w:before="65" w:line="302" w:lineRule="auto"/>
        <w:jc w:val="left"/>
      </w:pPr>
      <w:r>
        <w:pict>
          <v:shape id="_x0000_s1063" style="width:126.3pt;height:18.8pt;margin-top:-23.85pt;margin-left:118.62pt;mso-position-horizontal-relative:page;position:absolute;z-index:-251650048" coordorigin="2372,-477" coordsize="2526,376" path="m4723,-477l2547,-477,2446,-474,2394,-457,2375,-409,2372,-317,2372,-262,2375,-169,2394,-122,2446,-104,2547,-102,4723,-102,4824,-104,4876,-122,4895,-169,4898,-262,4898,-317,4895,-409,4876,-457,4824,-474,4723,-477xe" filled="t" fillcolor="#e6e7e8" stroked="f">
            <v:fill type="solid"/>
            <v:path arrowok="t"/>
          </v:shape>
        </w:pict>
      </w:r>
      <w:r>
        <w:rPr>
          <w:color w:val="231F20"/>
        </w:rPr>
        <w:t>本模块包括人体的内环境与稳态、人和动物生命活动的调节，以及植物的激素调节等内容。</w:t>
      </w:r>
    </w:p>
    <w:p>
      <w:pPr>
        <w:spacing w:before="0" w:line="302" w:lineRule="auto"/>
        <w:ind w:left="731" w:right="575" w:firstLine="479"/>
        <w:jc w:val="both"/>
        <w:rPr>
          <w:sz w:val="26"/>
        </w:rPr>
      </w:pPr>
      <w:r>
        <w:rPr>
          <w:color w:val="231F20"/>
          <w:sz w:val="26"/>
        </w:rPr>
        <w:t>所有的生命系统都存在于一定的环境之中，在不断变化的环境条件下，依靠自我调节机制维持其稳态。高等生物体和人体在生长、发育、代谢、遗传和变异等各种生命活动中，通过一定的调节机制，使机体保持稳态，并作为一个整体完成复杂的生命活动，适应多变的环境。</w:t>
      </w:r>
    </w:p>
    <w:p>
      <w:pPr>
        <w:spacing w:before="1" w:line="302" w:lineRule="auto"/>
        <w:ind w:left="731" w:right="575" w:firstLine="479"/>
        <w:jc w:val="both"/>
        <w:rPr>
          <w:sz w:val="26"/>
        </w:rPr>
      </w:pPr>
      <w:r>
        <w:rPr>
          <w:color w:val="231F20"/>
          <w:sz w:val="26"/>
        </w:rPr>
        <w:t>本模块选取有关生命活动调节与稳态的知识，有助于学生理解高等生物个体生命活动的规律，从系统分析的角度，认识个体生命系统的稳态；也有助于学生理解健康生活方式对于维持人体内环境的稳态、疾病预防的意义。</w:t>
      </w:r>
    </w:p>
    <w:p>
      <w:pPr>
        <w:pStyle w:val="BodyText"/>
        <w:spacing w:before="8"/>
        <w:rPr>
          <w:sz w:val="9"/>
        </w:rPr>
      </w:pPr>
      <w:r>
        <w:pict>
          <v:group id="_x0000_s1064" style="width:359.5pt;height:1pt;margin-top:8.15pt;margin-left:94.04pt;mso-position-horizontal-relative:page;mso-wrap-distance-left:0;mso-wrap-distance-right:0;position:absolute;z-index:-251635712" coordorigin="1881,163" coordsize="7190,20">
            <v:line id="_x0000_s1065" style="position:absolute" from="1941,173" to="9041,173" stroked="t" strokecolor="#231f20" strokeweight="1pt">
              <v:stroke dashstyle="dot"/>
            </v:line>
            <v:line id="_x0000_s1066" style="position:absolute" from="1881,173" to="1881,173" stroked="t" strokecolor="#231f20" strokeweight="1pt">
              <v:stroke dashstyle="solid"/>
            </v:line>
            <v:line id="_x0000_s1067" style="position:absolute" from="9071,173" to="9071,173" stroked="t" strokecolor="#231f20" strokeweight="1pt">
              <v:stroke dashstyle="solid"/>
            </v:line>
            <w10:wrap type="topAndBottom"/>
          </v:group>
        </w:pict>
      </w:r>
    </w:p>
    <w:p>
      <w:pPr>
        <w:spacing w:after="0"/>
        <w:rPr>
          <w:sz w:val="9"/>
        </w:rPr>
        <w:sectPr>
          <w:pgSz w:w="10780" w:h="15090"/>
          <w:pgMar w:top="1260" w:right="1460" w:bottom="1400" w:left="1480" w:header="1029" w:footer="1217"/>
          <w:cols w:space="708"/>
        </w:sectPr>
      </w:pPr>
    </w:p>
    <w:p>
      <w:pPr>
        <w:pStyle w:val="BodyText"/>
        <w:rPr>
          <w:sz w:val="20"/>
        </w:rPr>
      </w:pPr>
    </w:p>
    <w:p>
      <w:pPr>
        <w:pStyle w:val="BodyText"/>
        <w:spacing w:before="204"/>
        <w:ind w:left="580"/>
      </w:pPr>
      <w:r>
        <w:rPr>
          <w:color w:val="231F20"/>
        </w:rPr>
        <w:t>【内容要求】</w:t>
      </w:r>
    </w:p>
    <w:p>
      <w:pPr>
        <w:pStyle w:val="BodyText"/>
        <w:tabs>
          <w:tab w:val="left" w:pos="1104"/>
        </w:tabs>
        <w:spacing w:before="139" w:line="328" w:lineRule="auto"/>
        <w:ind w:left="1104" w:right="407" w:hanging="884"/>
      </w:pPr>
      <w:r>
        <w:rPr>
          <w:color w:val="231F20"/>
        </w:rPr>
        <w:t>概</w:t>
      </w:r>
      <w:r>
        <w:rPr>
          <w:color w:val="231F20"/>
          <w:spacing w:val="30"/>
        </w:rPr>
        <w:t>念</w:t>
      </w:r>
      <w:r>
        <w:rPr>
          <w:rFonts w:ascii="Arial" w:eastAsia="Arial"/>
          <w:color w:val="231F20"/>
        </w:rPr>
        <w:t>1</w:t>
        <w:tab/>
      </w:r>
      <w:r>
        <w:rPr>
          <w:color w:val="231F20"/>
          <w:spacing w:val="3"/>
        </w:rPr>
        <w:t>生命个体的结构与功能相适</w:t>
      </w:r>
      <w:r>
        <w:rPr>
          <w:color w:val="231F20"/>
        </w:rPr>
        <w:t>应</w:t>
      </w:r>
      <w:r>
        <w:rPr>
          <w:color w:val="231F20"/>
          <w:spacing w:val="3"/>
        </w:rPr>
        <w:t>，各结构协调统一共同完成</w:t>
      </w:r>
      <w:r>
        <w:rPr>
          <w:color w:val="231F20"/>
          <w:spacing w:val="-12"/>
        </w:rPr>
        <w:t>复</w:t>
      </w:r>
      <w:r>
        <w:rPr>
          <w:color w:val="231F20"/>
        </w:rPr>
        <w:t>杂的生命活动，并通过一定的调节机制保持稳态</w:t>
      </w:r>
    </w:p>
    <w:p>
      <w:pPr>
        <w:pStyle w:val="ListParagraph"/>
        <w:numPr>
          <w:ilvl w:val="1"/>
          <w:numId w:val="30"/>
        </w:numPr>
        <w:tabs>
          <w:tab w:val="left" w:pos="643"/>
        </w:tabs>
        <w:spacing w:before="26" w:after="0" w:line="328" w:lineRule="auto"/>
        <w:ind w:left="660" w:right="408" w:hanging="440"/>
        <w:jc w:val="left"/>
        <w:rPr>
          <w:sz w:val="24"/>
        </w:rPr>
      </w:pPr>
      <w:r>
        <w:rPr>
          <w:color w:val="231F20"/>
          <w:spacing w:val="-1"/>
          <w:sz w:val="24"/>
        </w:rPr>
        <w:t>内环境为机体细胞提供适宜的生存环境，机体细胞通过内环境与</w:t>
      </w:r>
      <w:r>
        <w:rPr>
          <w:color w:val="231F20"/>
          <w:sz w:val="24"/>
        </w:rPr>
        <w:t>外界环境进行物质交换</w:t>
      </w:r>
    </w:p>
    <w:p>
      <w:pPr>
        <w:pStyle w:val="ListParagraph"/>
        <w:numPr>
          <w:ilvl w:val="2"/>
          <w:numId w:val="30"/>
        </w:numPr>
        <w:tabs>
          <w:tab w:val="left" w:pos="1287"/>
        </w:tabs>
        <w:spacing w:before="0" w:after="0" w:line="328" w:lineRule="auto"/>
        <w:ind w:left="1320" w:right="405" w:hanging="640"/>
        <w:jc w:val="left"/>
        <w:rPr>
          <w:sz w:val="24"/>
        </w:rPr>
      </w:pPr>
      <w:r>
        <w:rPr>
          <w:color w:val="231F20"/>
          <w:spacing w:val="3"/>
          <w:sz w:val="24"/>
        </w:rPr>
        <w:t>说明血浆、组织液和淋巴等细胞外液共同构成高等动物细</w:t>
      </w:r>
      <w:r>
        <w:rPr>
          <w:color w:val="231F20"/>
          <w:sz w:val="24"/>
        </w:rPr>
        <w:t>胞赖以生存的内环境</w:t>
      </w:r>
    </w:p>
    <w:p>
      <w:pPr>
        <w:pStyle w:val="ListParagraph"/>
        <w:numPr>
          <w:ilvl w:val="2"/>
          <w:numId w:val="30"/>
        </w:numPr>
        <w:tabs>
          <w:tab w:val="left" w:pos="1287"/>
        </w:tabs>
        <w:spacing w:before="0" w:after="0" w:line="328" w:lineRule="auto"/>
        <w:ind w:left="1320" w:right="405" w:hanging="640"/>
        <w:jc w:val="left"/>
        <w:rPr>
          <w:sz w:val="24"/>
        </w:rPr>
      </w:pPr>
      <w:r>
        <w:rPr>
          <w:color w:val="231F20"/>
          <w:spacing w:val="4"/>
          <w:sz w:val="24"/>
        </w:rPr>
        <w:t>阐明机体细胞生活在内环境中，通过内环境与外界环境进</w:t>
      </w:r>
      <w:r>
        <w:rPr>
          <w:color w:val="231F20"/>
          <w:sz w:val="24"/>
        </w:rPr>
        <w:t>行物质交换，同时也参与内环境的形成和维持</w:t>
      </w:r>
    </w:p>
    <w:p>
      <w:pPr>
        <w:pStyle w:val="ListParagraph"/>
        <w:numPr>
          <w:ilvl w:val="2"/>
          <w:numId w:val="30"/>
        </w:numPr>
        <w:tabs>
          <w:tab w:val="left" w:pos="1287"/>
        </w:tabs>
        <w:spacing w:before="0" w:after="0" w:line="328" w:lineRule="auto"/>
        <w:ind w:left="1320" w:right="410" w:hanging="641"/>
        <w:jc w:val="left"/>
        <w:rPr>
          <w:sz w:val="24"/>
        </w:rPr>
      </w:pPr>
      <w:r>
        <w:rPr>
          <w:color w:val="231F20"/>
          <w:spacing w:val="2"/>
          <w:sz w:val="24"/>
        </w:rPr>
        <w:t>简述机体通过呼吸、消化、循环和泌尿等系统参与内、外环境间的物质交换</w:t>
      </w:r>
    </w:p>
    <w:p>
      <w:pPr>
        <w:pStyle w:val="ListParagraph"/>
        <w:numPr>
          <w:ilvl w:val="1"/>
          <w:numId w:val="30"/>
        </w:numPr>
        <w:tabs>
          <w:tab w:val="left" w:pos="641"/>
        </w:tabs>
        <w:spacing w:before="0" w:after="0" w:line="305" w:lineRule="exact"/>
        <w:ind w:left="640" w:right="0" w:hanging="421"/>
        <w:jc w:val="left"/>
        <w:rPr>
          <w:sz w:val="24"/>
        </w:rPr>
      </w:pPr>
      <w:r>
        <w:rPr>
          <w:color w:val="231F20"/>
          <w:sz w:val="24"/>
        </w:rPr>
        <w:t>内环境的变化会引发机体的自动调节，以维持内环境的稳态</w:t>
      </w:r>
    </w:p>
    <w:p>
      <w:pPr>
        <w:pStyle w:val="ListParagraph"/>
        <w:numPr>
          <w:ilvl w:val="2"/>
          <w:numId w:val="30"/>
        </w:numPr>
        <w:tabs>
          <w:tab w:val="left" w:pos="1284"/>
        </w:tabs>
        <w:spacing w:before="105" w:after="0" w:line="328" w:lineRule="auto"/>
        <w:ind w:left="1320" w:right="405" w:hanging="640"/>
        <w:jc w:val="left"/>
        <w:rPr>
          <w:sz w:val="24"/>
        </w:rPr>
      </w:pPr>
      <w:r>
        <w:rPr>
          <w:color w:val="231F20"/>
          <w:sz w:val="24"/>
        </w:rPr>
        <w:t>以血糖、体温、</w:t>
      </w:r>
      <w:r>
        <w:rPr>
          <w:rFonts w:ascii="Times New Roman" w:eastAsia="Times New Roman"/>
          <w:color w:val="231F20"/>
          <w:sz w:val="24"/>
        </w:rPr>
        <w:t>pH</w:t>
      </w:r>
      <w:r>
        <w:rPr>
          <w:rFonts w:ascii="Times New Roman" w:eastAsia="Times New Roman"/>
          <w:color w:val="231F20"/>
          <w:spacing w:val="-11"/>
          <w:sz w:val="24"/>
        </w:rPr>
        <w:t xml:space="preserve"> </w:t>
      </w:r>
      <w:r>
        <w:rPr>
          <w:color w:val="231F20"/>
          <w:sz w:val="24"/>
        </w:rPr>
        <w:t>和渗透压等为例，阐明机体通过调节作用保持内环境的相对稳定，以保证机体的正常生命活动</w:t>
      </w:r>
    </w:p>
    <w:p>
      <w:pPr>
        <w:pStyle w:val="ListParagraph"/>
        <w:numPr>
          <w:ilvl w:val="2"/>
          <w:numId w:val="30"/>
        </w:numPr>
        <w:tabs>
          <w:tab w:val="left" w:pos="1286"/>
        </w:tabs>
        <w:spacing w:before="0" w:after="0" w:line="328" w:lineRule="auto"/>
        <w:ind w:left="1319" w:right="405" w:hanging="640"/>
        <w:jc w:val="left"/>
        <w:rPr>
          <w:sz w:val="24"/>
        </w:rPr>
      </w:pPr>
      <w:r>
        <w:rPr>
          <w:color w:val="231F20"/>
          <w:spacing w:val="4"/>
          <w:sz w:val="24"/>
        </w:rPr>
        <w:t>举例说明机体不同器官、系统协调统一地共同完成各项生</w:t>
      </w:r>
      <w:r>
        <w:rPr>
          <w:color w:val="231F20"/>
          <w:sz w:val="24"/>
        </w:rPr>
        <w:t>命活动，是维持内环境稳态的基础</w:t>
      </w:r>
    </w:p>
    <w:p>
      <w:pPr>
        <w:pStyle w:val="ListParagraph"/>
        <w:numPr>
          <w:ilvl w:val="1"/>
          <w:numId w:val="30"/>
        </w:numPr>
        <w:tabs>
          <w:tab w:val="left" w:pos="643"/>
        </w:tabs>
        <w:spacing w:before="0" w:after="0" w:line="328" w:lineRule="auto"/>
        <w:ind w:left="660" w:right="404" w:hanging="441"/>
        <w:jc w:val="left"/>
        <w:rPr>
          <w:sz w:val="24"/>
        </w:rPr>
      </w:pPr>
      <w:r>
        <w:rPr>
          <w:color w:val="231F20"/>
          <w:sz w:val="24"/>
        </w:rPr>
        <w:t>神经系统能够及时感知机体内、外环境的变化，并作出反应调控各器官、系统的活动，实现机体稳态</w:t>
      </w:r>
    </w:p>
    <w:p>
      <w:pPr>
        <w:pStyle w:val="ListParagraph"/>
        <w:numPr>
          <w:ilvl w:val="2"/>
          <w:numId w:val="30"/>
        </w:numPr>
        <w:tabs>
          <w:tab w:val="left" w:pos="1286"/>
        </w:tabs>
        <w:spacing w:before="0" w:after="0" w:line="328" w:lineRule="auto"/>
        <w:ind w:left="1319" w:right="405" w:hanging="640"/>
        <w:jc w:val="left"/>
        <w:rPr>
          <w:sz w:val="24"/>
        </w:rPr>
      </w:pPr>
      <w:r>
        <w:rPr>
          <w:color w:val="231F20"/>
          <w:spacing w:val="4"/>
          <w:sz w:val="24"/>
        </w:rPr>
        <w:t>概述神经调节的基本方式是反射</w:t>
      </w:r>
      <w:r>
        <w:rPr>
          <w:color w:val="231F20"/>
          <w:spacing w:val="5"/>
          <w:sz w:val="24"/>
        </w:rPr>
        <w:t>（可分为条件反射和非条</w:t>
      </w:r>
      <w:r>
        <w:rPr>
          <w:color w:val="231F20"/>
          <w:sz w:val="24"/>
        </w:rPr>
        <w:t>件反射</w:t>
      </w:r>
      <w:r>
        <w:rPr>
          <w:color w:val="231F20"/>
          <w:spacing w:val="-45"/>
          <w:sz w:val="24"/>
        </w:rPr>
        <w:t>）</w:t>
      </w:r>
      <w:r>
        <w:rPr>
          <w:color w:val="231F20"/>
          <w:spacing w:val="-7"/>
          <w:sz w:val="24"/>
        </w:rPr>
        <w:t>，其结构基础是反射弧</w:t>
      </w:r>
    </w:p>
    <w:p>
      <w:pPr>
        <w:pStyle w:val="ListParagraph"/>
        <w:numPr>
          <w:ilvl w:val="2"/>
          <w:numId w:val="30"/>
        </w:numPr>
        <w:tabs>
          <w:tab w:val="left" w:pos="1286"/>
        </w:tabs>
        <w:spacing w:before="0" w:after="0" w:line="328" w:lineRule="auto"/>
        <w:ind w:left="1319" w:right="405" w:hanging="640"/>
        <w:jc w:val="left"/>
        <w:rPr>
          <w:sz w:val="24"/>
        </w:rPr>
      </w:pPr>
      <w:r>
        <w:rPr>
          <w:color w:val="231F20"/>
          <w:spacing w:val="4"/>
          <w:sz w:val="24"/>
        </w:rPr>
        <w:t>阐明神经细胞膜内外在静息状态具有电位差，受到外界刺</w:t>
      </w:r>
      <w:r>
        <w:rPr>
          <w:color w:val="231F20"/>
          <w:sz w:val="24"/>
        </w:rPr>
        <w:t>激后形成动作电位，并沿神经纤维传导</w:t>
      </w:r>
    </w:p>
    <w:p>
      <w:pPr>
        <w:pStyle w:val="ListParagraph"/>
        <w:numPr>
          <w:ilvl w:val="2"/>
          <w:numId w:val="30"/>
        </w:numPr>
        <w:tabs>
          <w:tab w:val="left" w:pos="1280"/>
        </w:tabs>
        <w:spacing w:before="0" w:after="0" w:line="305" w:lineRule="exact"/>
        <w:ind w:left="1279" w:right="0" w:hanging="601"/>
        <w:jc w:val="left"/>
        <w:rPr>
          <w:sz w:val="24"/>
        </w:rPr>
      </w:pPr>
      <w:r>
        <w:rPr>
          <w:color w:val="231F20"/>
          <w:sz w:val="24"/>
        </w:rPr>
        <w:t>阐明神经冲动在突触处的传递通常通过化学传递方式完成</w:t>
      </w:r>
    </w:p>
    <w:p>
      <w:pPr>
        <w:pStyle w:val="ListParagraph"/>
        <w:numPr>
          <w:ilvl w:val="2"/>
          <w:numId w:val="30"/>
        </w:numPr>
        <w:tabs>
          <w:tab w:val="left" w:pos="1286"/>
        </w:tabs>
        <w:spacing w:before="103" w:after="0" w:line="328" w:lineRule="auto"/>
        <w:ind w:left="1319" w:right="404" w:hanging="640"/>
        <w:jc w:val="both"/>
        <w:rPr>
          <w:sz w:val="24"/>
        </w:rPr>
      </w:pPr>
      <w:r>
        <w:rPr>
          <w:color w:val="231F20"/>
          <w:spacing w:val="5"/>
          <w:sz w:val="24"/>
        </w:rPr>
        <w:t>分析位于脊髓的低级神经中枢和脑中相应的高级神经中枢</w:t>
      </w:r>
      <w:r>
        <w:rPr>
          <w:color w:val="231F20"/>
          <w:spacing w:val="1"/>
          <w:sz w:val="24"/>
        </w:rPr>
        <w:t>相互联系、相互协调，共同调控器官和系统的活动，维持</w:t>
      </w:r>
      <w:r>
        <w:rPr>
          <w:color w:val="231F20"/>
          <w:sz w:val="24"/>
        </w:rPr>
        <w:t>机体的稳态</w:t>
      </w:r>
    </w:p>
    <w:p>
      <w:pPr>
        <w:pStyle w:val="ListParagraph"/>
        <w:numPr>
          <w:ilvl w:val="2"/>
          <w:numId w:val="30"/>
        </w:numPr>
        <w:tabs>
          <w:tab w:val="left" w:pos="1280"/>
        </w:tabs>
        <w:spacing w:before="0" w:after="0" w:line="304" w:lineRule="exact"/>
        <w:ind w:left="1279" w:right="0" w:hanging="601"/>
        <w:jc w:val="both"/>
        <w:rPr>
          <w:sz w:val="24"/>
        </w:rPr>
      </w:pPr>
      <w:r>
        <w:rPr>
          <w:color w:val="231F20"/>
          <w:sz w:val="24"/>
        </w:rPr>
        <w:t>举例说明中枢神经系统通过自主神经来调节内脏的活动</w:t>
      </w:r>
    </w:p>
    <w:p>
      <w:pPr>
        <w:pStyle w:val="ListParagraph"/>
        <w:numPr>
          <w:ilvl w:val="2"/>
          <w:numId w:val="30"/>
        </w:numPr>
        <w:tabs>
          <w:tab w:val="left" w:pos="1280"/>
        </w:tabs>
        <w:spacing w:before="112" w:after="0" w:line="240" w:lineRule="auto"/>
        <w:ind w:left="1279" w:right="0" w:hanging="601"/>
        <w:jc w:val="both"/>
        <w:rPr>
          <w:sz w:val="24"/>
        </w:rPr>
      </w:pPr>
      <w:r>
        <w:rPr>
          <w:color w:val="231F20"/>
          <w:spacing w:val="-12"/>
          <w:sz w:val="24"/>
        </w:rPr>
        <w:t>简述语言活动和条件反射是由大脑皮层控制的高级神经活动</w:t>
      </w:r>
    </w:p>
    <w:p>
      <w:pPr>
        <w:spacing w:after="0" w:line="240" w:lineRule="auto"/>
        <w:jc w:val="both"/>
        <w:rPr>
          <w:sz w:val="24"/>
        </w:rPr>
        <w:sectPr>
          <w:pgSz w:w="10780" w:h="15090"/>
          <w:pgMar w:top="1260" w:right="1460" w:bottom="1400" w:left="1480" w:header="989" w:footer="1217"/>
          <w:cols w:space="708"/>
        </w:sectPr>
      </w:pPr>
    </w:p>
    <w:p>
      <w:pPr>
        <w:pStyle w:val="BodyText"/>
        <w:spacing w:before="2"/>
        <w:rPr>
          <w:sz w:val="29"/>
        </w:rPr>
      </w:pPr>
    </w:p>
    <w:p>
      <w:pPr>
        <w:pStyle w:val="ListParagraph"/>
        <w:numPr>
          <w:ilvl w:val="1"/>
          <w:numId w:val="30"/>
        </w:numPr>
        <w:tabs>
          <w:tab w:val="left" w:pos="814"/>
        </w:tabs>
        <w:spacing w:before="75" w:after="0" w:line="328" w:lineRule="auto"/>
        <w:ind w:left="830" w:right="238" w:hanging="440"/>
        <w:jc w:val="both"/>
        <w:rPr>
          <w:sz w:val="24"/>
        </w:rPr>
      </w:pPr>
      <w:r>
        <w:rPr>
          <w:color w:val="231F20"/>
          <w:spacing w:val="-1"/>
          <w:sz w:val="24"/>
        </w:rPr>
        <w:t>内分泌系统产生的多种类型的激素，通过体液传送而发挥调节作</w:t>
      </w:r>
      <w:r>
        <w:rPr>
          <w:color w:val="231F20"/>
          <w:sz w:val="24"/>
        </w:rPr>
        <w:t>用，实现机体稳态</w:t>
      </w:r>
    </w:p>
    <w:p>
      <w:pPr>
        <w:pStyle w:val="ListParagraph"/>
        <w:numPr>
          <w:ilvl w:val="2"/>
          <w:numId w:val="30"/>
        </w:numPr>
        <w:tabs>
          <w:tab w:val="left" w:pos="1457"/>
        </w:tabs>
        <w:spacing w:before="0" w:after="0" w:line="328" w:lineRule="auto"/>
        <w:ind w:left="1490" w:right="233" w:hanging="640"/>
        <w:jc w:val="both"/>
        <w:rPr>
          <w:sz w:val="24"/>
        </w:rPr>
      </w:pPr>
      <w:r>
        <w:rPr>
          <w:color w:val="231F20"/>
          <w:spacing w:val="3"/>
          <w:sz w:val="24"/>
        </w:rPr>
        <w:t>说出人体内分泌系统主要由内分泌腺组成，包括垂体、甲</w:t>
      </w:r>
      <w:r>
        <w:rPr>
          <w:color w:val="231F20"/>
          <w:spacing w:val="-1"/>
          <w:sz w:val="24"/>
        </w:rPr>
        <w:t>状腺、胸腺、肾上腺、胰岛和性腺等多种腺体，它们分泌</w:t>
      </w:r>
      <w:r>
        <w:rPr>
          <w:color w:val="231F20"/>
          <w:sz w:val="24"/>
        </w:rPr>
        <w:t>的各类激素参与生命活动的调节</w:t>
      </w:r>
    </w:p>
    <w:p>
      <w:pPr>
        <w:pStyle w:val="ListParagraph"/>
        <w:numPr>
          <w:ilvl w:val="2"/>
          <w:numId w:val="30"/>
        </w:numPr>
        <w:tabs>
          <w:tab w:val="left" w:pos="1457"/>
        </w:tabs>
        <w:spacing w:before="0" w:after="0" w:line="328" w:lineRule="auto"/>
        <w:ind w:left="1490" w:right="235" w:hanging="640"/>
        <w:jc w:val="both"/>
        <w:rPr>
          <w:sz w:val="24"/>
        </w:rPr>
      </w:pPr>
      <w:r>
        <w:rPr>
          <w:color w:val="231F20"/>
          <w:spacing w:val="4"/>
          <w:sz w:val="24"/>
        </w:rPr>
        <w:t>举例说明激素通过分级调节、反馈调节等机制维持机体的</w:t>
      </w:r>
      <w:r>
        <w:rPr>
          <w:color w:val="231F20"/>
          <w:sz w:val="24"/>
        </w:rPr>
        <w:t>稳态，如甲状腺激素分泌的调节和血糖平衡的调节等</w:t>
      </w:r>
    </w:p>
    <w:p>
      <w:pPr>
        <w:pStyle w:val="ListParagraph"/>
        <w:numPr>
          <w:ilvl w:val="2"/>
          <w:numId w:val="30"/>
        </w:numPr>
        <w:tabs>
          <w:tab w:val="left" w:pos="1456"/>
        </w:tabs>
        <w:spacing w:before="0" w:after="0" w:line="328" w:lineRule="auto"/>
        <w:ind w:left="1490" w:right="235" w:hanging="640"/>
        <w:jc w:val="both"/>
        <w:rPr>
          <w:sz w:val="24"/>
        </w:rPr>
      </w:pPr>
      <w:r>
        <w:rPr>
          <w:color w:val="231F20"/>
          <w:spacing w:val="5"/>
          <w:sz w:val="24"/>
        </w:rPr>
        <w:t>举例说出神经调节与体液调节相互协调共同维持机体的稳</w:t>
      </w:r>
      <w:r>
        <w:rPr>
          <w:color w:val="231F20"/>
          <w:sz w:val="24"/>
        </w:rPr>
        <w:t>态，如体温调节和水盐平衡的调节等</w:t>
      </w:r>
    </w:p>
    <w:p>
      <w:pPr>
        <w:pStyle w:val="ListParagraph"/>
        <w:numPr>
          <w:ilvl w:val="2"/>
          <w:numId w:val="30"/>
        </w:numPr>
        <w:tabs>
          <w:tab w:val="left" w:pos="1456"/>
        </w:tabs>
        <w:spacing w:before="0" w:after="0" w:line="328" w:lineRule="auto"/>
        <w:ind w:left="1489" w:right="235" w:hanging="640"/>
        <w:jc w:val="both"/>
        <w:rPr>
          <w:sz w:val="24"/>
        </w:rPr>
      </w:pPr>
      <w:r>
        <w:rPr>
          <w:color w:val="231F20"/>
          <w:spacing w:val="4"/>
          <w:sz w:val="24"/>
        </w:rPr>
        <w:t>举例说明其他体液成分参与稳态的调节，如二氧化碳对呼</w:t>
      </w:r>
      <w:r>
        <w:rPr>
          <w:color w:val="231F20"/>
          <w:sz w:val="24"/>
        </w:rPr>
        <w:t>吸运动的调节等</w:t>
      </w:r>
    </w:p>
    <w:p>
      <w:pPr>
        <w:pStyle w:val="ListParagraph"/>
        <w:numPr>
          <w:ilvl w:val="1"/>
          <w:numId w:val="30"/>
        </w:numPr>
        <w:tabs>
          <w:tab w:val="left" w:pos="813"/>
        </w:tabs>
        <w:spacing w:before="0" w:after="0" w:line="328" w:lineRule="auto"/>
        <w:ind w:left="830" w:right="234" w:hanging="441"/>
        <w:jc w:val="both"/>
        <w:rPr>
          <w:sz w:val="24"/>
        </w:rPr>
      </w:pPr>
      <w:r>
        <w:rPr>
          <w:color w:val="231F20"/>
          <w:sz w:val="24"/>
        </w:rPr>
        <w:t>免疫系统能够抵御病原体的侵袭，识别并清除机体内衰老、死亡或异常的细胞，实现机体稳态</w:t>
      </w:r>
    </w:p>
    <w:p>
      <w:pPr>
        <w:pStyle w:val="ListParagraph"/>
        <w:numPr>
          <w:ilvl w:val="2"/>
          <w:numId w:val="30"/>
        </w:numPr>
        <w:tabs>
          <w:tab w:val="left" w:pos="1456"/>
        </w:tabs>
        <w:spacing w:before="0" w:after="0" w:line="328" w:lineRule="auto"/>
        <w:ind w:left="1489" w:right="235" w:hanging="640"/>
        <w:jc w:val="left"/>
        <w:rPr>
          <w:sz w:val="24"/>
        </w:rPr>
      </w:pPr>
      <w:r>
        <w:rPr>
          <w:color w:val="231F20"/>
          <w:spacing w:val="4"/>
          <w:sz w:val="24"/>
        </w:rPr>
        <w:t>举例说明免疫细胞、免疫器官和免疫活性物质等是免疫调</w:t>
      </w:r>
      <w:r>
        <w:rPr>
          <w:color w:val="231F20"/>
          <w:sz w:val="24"/>
        </w:rPr>
        <w:t>节的结构与物质基础</w:t>
      </w:r>
    </w:p>
    <w:p>
      <w:pPr>
        <w:pStyle w:val="ListParagraph"/>
        <w:numPr>
          <w:ilvl w:val="2"/>
          <w:numId w:val="30"/>
        </w:numPr>
        <w:tabs>
          <w:tab w:val="left" w:pos="1456"/>
        </w:tabs>
        <w:spacing w:before="0" w:after="0" w:line="328" w:lineRule="auto"/>
        <w:ind w:left="1489" w:right="236" w:hanging="640"/>
        <w:jc w:val="left"/>
        <w:rPr>
          <w:sz w:val="24"/>
        </w:rPr>
      </w:pPr>
      <w:r>
        <w:rPr>
          <w:color w:val="231F20"/>
          <w:spacing w:val="5"/>
          <w:sz w:val="24"/>
        </w:rPr>
        <w:t>概述人体的免疫包括生来就有的非特异性免疫和后天获得</w:t>
      </w:r>
      <w:r>
        <w:rPr>
          <w:color w:val="231F20"/>
          <w:sz w:val="24"/>
        </w:rPr>
        <w:t>的特异性免疫</w:t>
      </w:r>
    </w:p>
    <w:p>
      <w:pPr>
        <w:pStyle w:val="ListParagraph"/>
        <w:numPr>
          <w:ilvl w:val="2"/>
          <w:numId w:val="30"/>
        </w:numPr>
        <w:tabs>
          <w:tab w:val="left" w:pos="1456"/>
        </w:tabs>
        <w:spacing w:before="0" w:after="0" w:line="328" w:lineRule="auto"/>
        <w:ind w:left="1489" w:right="236" w:hanging="640"/>
        <w:jc w:val="left"/>
        <w:rPr>
          <w:sz w:val="24"/>
        </w:rPr>
      </w:pPr>
      <w:r>
        <w:rPr>
          <w:color w:val="231F20"/>
          <w:spacing w:val="4"/>
          <w:sz w:val="24"/>
        </w:rPr>
        <w:t>阐明特异性免疫是通过体液免疫和细胞免疫两种方式，针</w:t>
      </w:r>
      <w:r>
        <w:rPr>
          <w:color w:val="231F20"/>
          <w:sz w:val="24"/>
        </w:rPr>
        <w:t>对特定病原体发生的免疫应答</w:t>
      </w:r>
    </w:p>
    <w:p>
      <w:pPr>
        <w:pStyle w:val="ListParagraph"/>
        <w:numPr>
          <w:ilvl w:val="2"/>
          <w:numId w:val="30"/>
        </w:numPr>
        <w:tabs>
          <w:tab w:val="left" w:pos="1456"/>
        </w:tabs>
        <w:spacing w:before="0" w:after="0" w:line="328" w:lineRule="auto"/>
        <w:ind w:left="1489" w:right="236" w:hanging="640"/>
        <w:jc w:val="left"/>
        <w:rPr>
          <w:sz w:val="24"/>
        </w:rPr>
      </w:pPr>
      <w:r>
        <w:rPr>
          <w:color w:val="231F20"/>
          <w:spacing w:val="3"/>
          <w:sz w:val="24"/>
        </w:rPr>
        <w:t>举例说明免疫功能异常可能引发疾病，如过敏、自身免疫</w:t>
      </w:r>
      <w:r>
        <w:rPr>
          <w:color w:val="231F20"/>
          <w:sz w:val="24"/>
        </w:rPr>
        <w:t>病、艾滋病和先天性免疫缺陷病等</w:t>
      </w:r>
    </w:p>
    <w:p>
      <w:pPr>
        <w:pStyle w:val="ListParagraph"/>
        <w:numPr>
          <w:ilvl w:val="1"/>
          <w:numId w:val="30"/>
        </w:numPr>
        <w:tabs>
          <w:tab w:val="left" w:pos="810"/>
        </w:tabs>
        <w:spacing w:before="0" w:after="0" w:line="328" w:lineRule="auto"/>
        <w:ind w:left="829" w:right="235" w:hanging="440"/>
        <w:jc w:val="left"/>
        <w:rPr>
          <w:sz w:val="24"/>
        </w:rPr>
      </w:pPr>
      <w:r>
        <w:rPr>
          <w:color w:val="231F20"/>
          <w:sz w:val="24"/>
        </w:rPr>
        <w:t>植物生命活动受到多种因素的调节，其中最重要的是植物激素的调节</w:t>
      </w:r>
    </w:p>
    <w:p>
      <w:pPr>
        <w:pStyle w:val="ListParagraph"/>
        <w:numPr>
          <w:ilvl w:val="2"/>
          <w:numId w:val="30"/>
        </w:numPr>
        <w:tabs>
          <w:tab w:val="left" w:pos="1456"/>
        </w:tabs>
        <w:spacing w:before="0" w:after="0" w:line="328" w:lineRule="auto"/>
        <w:ind w:left="1488" w:right="235" w:hanging="640"/>
        <w:jc w:val="both"/>
        <w:rPr>
          <w:sz w:val="24"/>
        </w:rPr>
      </w:pPr>
      <w:r>
        <w:rPr>
          <w:color w:val="231F20"/>
          <w:spacing w:val="3"/>
          <w:sz w:val="24"/>
        </w:rPr>
        <w:t>概述科学家经过不断的探索，发现了植物生长素，并揭示</w:t>
      </w:r>
      <w:r>
        <w:rPr>
          <w:color w:val="231F20"/>
          <w:spacing w:val="2"/>
          <w:sz w:val="24"/>
        </w:rPr>
        <w:t>了它在调节植物生长时表现出两重性，既能促进生长，也</w:t>
      </w:r>
      <w:r>
        <w:rPr>
          <w:color w:val="231F20"/>
          <w:sz w:val="24"/>
        </w:rPr>
        <w:t>能抑制生长</w:t>
      </w:r>
    </w:p>
    <w:p>
      <w:pPr>
        <w:pStyle w:val="ListParagraph"/>
        <w:numPr>
          <w:ilvl w:val="2"/>
          <w:numId w:val="30"/>
        </w:numPr>
        <w:tabs>
          <w:tab w:val="left" w:pos="1450"/>
        </w:tabs>
        <w:spacing w:before="0" w:after="0" w:line="328" w:lineRule="auto"/>
        <w:ind w:left="1488" w:right="123" w:hanging="640"/>
        <w:jc w:val="both"/>
        <w:rPr>
          <w:sz w:val="24"/>
        </w:rPr>
      </w:pPr>
      <w:r>
        <w:rPr>
          <w:color w:val="231F20"/>
          <w:sz w:val="24"/>
        </w:rPr>
        <w:t>举例说明几种主要植物激素的作用，这些激素可通过协同、拮抗等方式共同实现对植物生命活动的调节</w:t>
      </w:r>
    </w:p>
    <w:p>
      <w:pPr>
        <w:spacing w:after="0" w:line="328" w:lineRule="auto"/>
        <w:jc w:val="both"/>
        <w:rPr>
          <w:sz w:val="24"/>
        </w:rPr>
        <w:sectPr>
          <w:pgSz w:w="10780" w:h="15090"/>
          <w:pgMar w:top="1260" w:right="1460" w:bottom="1400" w:left="1480" w:header="1029" w:footer="1217"/>
          <w:cols w:space="708"/>
        </w:sectPr>
      </w:pPr>
    </w:p>
    <w:p>
      <w:pPr>
        <w:pStyle w:val="BodyText"/>
        <w:spacing w:before="12"/>
        <w:rPr>
          <w:sz w:val="29"/>
        </w:rPr>
      </w:pPr>
    </w:p>
    <w:p>
      <w:pPr>
        <w:pStyle w:val="ListParagraph"/>
        <w:numPr>
          <w:ilvl w:val="2"/>
          <w:numId w:val="30"/>
        </w:numPr>
        <w:tabs>
          <w:tab w:val="left" w:pos="1288"/>
        </w:tabs>
        <w:spacing w:before="76" w:after="0" w:line="328" w:lineRule="auto"/>
        <w:ind w:left="1320" w:right="410" w:hanging="641"/>
        <w:jc w:val="left"/>
        <w:rPr>
          <w:sz w:val="24"/>
        </w:rPr>
      </w:pPr>
      <w:r>
        <w:rPr>
          <w:color w:val="231F20"/>
          <w:spacing w:val="2"/>
          <w:sz w:val="24"/>
        </w:rPr>
        <w:t>举例说明生长素、细胞分裂素、赤霉素、脱落酸和乙烯等植物激素及其类似物在生产上得到了广泛应用</w:t>
      </w:r>
    </w:p>
    <w:p>
      <w:pPr>
        <w:pStyle w:val="ListParagraph"/>
        <w:numPr>
          <w:ilvl w:val="2"/>
          <w:numId w:val="30"/>
        </w:numPr>
        <w:tabs>
          <w:tab w:val="left" w:pos="1287"/>
        </w:tabs>
        <w:spacing w:before="0" w:after="0" w:line="328" w:lineRule="auto"/>
        <w:ind w:left="1320" w:right="404" w:hanging="640"/>
        <w:jc w:val="left"/>
        <w:rPr>
          <w:sz w:val="24"/>
        </w:rPr>
      </w:pPr>
      <w:r>
        <w:rPr>
          <w:color w:val="231F20"/>
          <w:spacing w:val="3"/>
          <w:sz w:val="24"/>
        </w:rPr>
        <w:t>概述其他因素参与植物生命活动的调节，如光、重力和温</w:t>
      </w:r>
      <w:r>
        <w:rPr>
          <w:color w:val="231F20"/>
          <w:sz w:val="24"/>
        </w:rPr>
        <w:t>度等</w:t>
      </w:r>
    </w:p>
    <w:p>
      <w:pPr>
        <w:pStyle w:val="BodyText"/>
        <w:spacing w:before="6"/>
        <w:rPr>
          <w:sz w:val="32"/>
        </w:rPr>
      </w:pPr>
    </w:p>
    <w:p>
      <w:pPr>
        <w:pStyle w:val="BodyText"/>
        <w:ind w:left="580"/>
      </w:pPr>
      <w:r>
        <w:rPr>
          <w:color w:val="231F20"/>
        </w:rPr>
        <w:t>【教学提示】</w:t>
      </w:r>
    </w:p>
    <w:p>
      <w:pPr>
        <w:pStyle w:val="BodyText"/>
        <w:spacing w:before="111" w:line="328" w:lineRule="auto"/>
        <w:ind w:left="220" w:right="290" w:firstLine="480"/>
      </w:pPr>
      <w:r>
        <w:rPr>
          <w:color w:val="231F20"/>
        </w:rPr>
        <w:t>本模块的主题是个体水平的稳态与调节，内容比较抽象。教学中，教师应积极组织学生开展相关活动，帮助学生理解和掌握知识， 提高运用知识解决实际问题的能力。</w:t>
      </w:r>
    </w:p>
    <w:p>
      <w:pPr>
        <w:pStyle w:val="BodyText"/>
        <w:spacing w:line="328" w:lineRule="auto"/>
        <w:ind w:left="220" w:right="290" w:firstLine="480"/>
        <w:jc w:val="both"/>
      </w:pPr>
      <w:r>
        <w:rPr>
          <w:color w:val="231F20"/>
          <w:spacing w:val="1"/>
        </w:rPr>
        <w:t>为帮助学生达成对选择性必修课程概念</w:t>
      </w:r>
      <w:r>
        <w:rPr>
          <w:rFonts w:ascii="Times New Roman" w:eastAsia="Times New Roman"/>
          <w:color w:val="231F20"/>
        </w:rPr>
        <w:t xml:space="preserve">1 </w:t>
      </w:r>
      <w:r>
        <w:rPr>
          <w:color w:val="231F20"/>
        </w:rPr>
        <w:t>的理解，促进学生生物</w:t>
      </w:r>
      <w:r>
        <w:rPr>
          <w:color w:val="231F20"/>
          <w:spacing w:val="-7"/>
        </w:rPr>
        <w:t>学学科核心素养的提升，应开展下列实验：</w:t>
      </w:r>
      <w:r>
        <w:rPr>
          <w:color w:val="231F20"/>
        </w:rPr>
        <w:t>（</w:t>
      </w:r>
      <w:r>
        <w:rPr>
          <w:rFonts w:ascii="Times New Roman" w:eastAsia="Times New Roman"/>
          <w:color w:val="231F20"/>
        </w:rPr>
        <w:t>1</w:t>
      </w:r>
      <w:r>
        <w:rPr>
          <w:color w:val="231F20"/>
        </w:rPr>
        <w:t>）观看血液分层实验的</w:t>
      </w:r>
      <w:r>
        <w:rPr>
          <w:color w:val="231F20"/>
          <w:spacing w:val="-13"/>
        </w:rPr>
        <w:t>视频，讨论血细胞与血浆的关系；</w:t>
      </w:r>
      <w:r>
        <w:rPr>
          <w:color w:val="231F20"/>
          <w:spacing w:val="-6"/>
        </w:rPr>
        <w:t>（</w:t>
      </w:r>
      <w:r>
        <w:rPr>
          <w:rFonts w:ascii="Times New Roman" w:eastAsia="Times New Roman"/>
          <w:color w:val="231F20"/>
          <w:spacing w:val="-5"/>
        </w:rPr>
        <w:t>2</w:t>
      </w:r>
      <w:r>
        <w:rPr>
          <w:color w:val="231F20"/>
          <w:spacing w:val="-4"/>
        </w:rPr>
        <w:t>）</w:t>
      </w:r>
      <w:r>
        <w:rPr>
          <w:color w:val="231F20"/>
          <w:spacing w:val="-3"/>
        </w:rPr>
        <w:t>比较清水、缓冲液、体液对</w:t>
      </w:r>
      <w:r>
        <w:rPr>
          <w:rFonts w:ascii="Times New Roman" w:eastAsia="Times New Roman"/>
          <w:color w:val="231F20"/>
          <w:spacing w:val="-5"/>
          <w:w w:val="99"/>
        </w:rPr>
        <w:t>pH</w:t>
      </w:r>
      <w:r>
        <w:rPr>
          <w:color w:val="231F20"/>
          <w:spacing w:val="-19"/>
        </w:rPr>
        <w:t>变化的调节作用；</w:t>
      </w:r>
      <w:r>
        <w:rPr>
          <w:color w:val="231F20"/>
          <w:spacing w:val="-5"/>
        </w:rPr>
        <w:t>（</w:t>
      </w:r>
      <w:r>
        <w:rPr>
          <w:rFonts w:ascii="Times New Roman" w:eastAsia="Times New Roman"/>
          <w:color w:val="231F20"/>
          <w:spacing w:val="-5"/>
        </w:rPr>
        <w:t>3</w:t>
      </w:r>
      <w:r>
        <w:rPr>
          <w:color w:val="231F20"/>
          <w:spacing w:val="-2"/>
        </w:rPr>
        <w:t>）</w:t>
      </w:r>
      <w:r>
        <w:rPr>
          <w:color w:val="231F20"/>
          <w:spacing w:val="4"/>
        </w:rPr>
        <w:t>探究植物生长调节剂对扦插枝条生根的作用；</w:t>
      </w:r>
    </w:p>
    <w:p>
      <w:pPr>
        <w:pStyle w:val="ListParagraph"/>
        <w:numPr>
          <w:ilvl w:val="0"/>
          <w:numId w:val="29"/>
        </w:numPr>
        <w:tabs>
          <w:tab w:val="left" w:pos="716"/>
        </w:tabs>
        <w:spacing w:before="0" w:after="0" w:line="302" w:lineRule="exact"/>
        <w:ind w:left="715" w:right="0" w:hanging="616"/>
        <w:jc w:val="left"/>
        <w:rPr>
          <w:sz w:val="24"/>
        </w:rPr>
      </w:pPr>
      <w:r>
        <w:rPr>
          <w:color w:val="231F20"/>
          <w:spacing w:val="2"/>
          <w:sz w:val="24"/>
        </w:rPr>
        <w:t>探究乙烯利对水果的催熟作用。</w:t>
      </w:r>
    </w:p>
    <w:p>
      <w:pPr>
        <w:pStyle w:val="BodyText"/>
        <w:spacing w:before="109" w:line="328" w:lineRule="auto"/>
        <w:ind w:left="220" w:right="288" w:firstLine="480"/>
      </w:pPr>
      <w:r>
        <w:rPr>
          <w:color w:val="231F20"/>
          <w:spacing w:val="-8"/>
        </w:rPr>
        <w:t>除上述实验外，还应开展下列活动：</w:t>
      </w:r>
      <w:r>
        <w:rPr>
          <w:color w:val="231F20"/>
        </w:rPr>
        <w:t>（</w:t>
      </w:r>
      <w:r>
        <w:rPr>
          <w:rFonts w:ascii="Times New Roman" w:eastAsia="Times New Roman"/>
          <w:color w:val="231F20"/>
        </w:rPr>
        <w:t>1</w:t>
      </w:r>
      <w:r>
        <w:rPr>
          <w:color w:val="231F20"/>
        </w:rPr>
        <w:t>）用概念图教学法揭示内</w:t>
      </w:r>
      <w:r>
        <w:rPr>
          <w:color w:val="231F20"/>
          <w:spacing w:val="-5"/>
        </w:rPr>
        <w:t>环境与外界环境的物质交换的关系；</w:t>
      </w:r>
      <w:r>
        <w:rPr>
          <w:color w:val="231F20"/>
        </w:rPr>
        <w:t>（</w:t>
      </w:r>
      <w:r>
        <w:rPr>
          <w:rFonts w:ascii="Times New Roman" w:eastAsia="Times New Roman"/>
          <w:color w:val="231F20"/>
        </w:rPr>
        <w:t>2</w:t>
      </w:r>
      <w:r>
        <w:rPr>
          <w:color w:val="231F20"/>
          <w:spacing w:val="4"/>
        </w:rPr>
        <w:t>）</w:t>
      </w:r>
      <w:r>
        <w:rPr>
          <w:color w:val="231F20"/>
          <w:spacing w:val="2"/>
        </w:rPr>
        <w:t>以内环境的某种成分为例，</w:t>
      </w:r>
      <w:r>
        <w:rPr>
          <w:color w:val="231F20"/>
          <w:spacing w:val="8"/>
        </w:rPr>
        <w:t>讨论各系统是如何协同维持其相对稳定的</w:t>
      </w:r>
      <w:r>
        <w:rPr>
          <w:color w:val="231F20"/>
          <w:spacing w:val="-120"/>
        </w:rPr>
        <w:t>；</w:t>
      </w:r>
      <w:r>
        <w:rPr>
          <w:color w:val="231F20"/>
        </w:rPr>
        <w:t>（</w:t>
      </w:r>
      <w:r>
        <w:rPr>
          <w:rFonts w:ascii="Times New Roman" w:eastAsia="Times New Roman"/>
          <w:color w:val="231F20"/>
        </w:rPr>
        <w:t>3</w:t>
      </w:r>
      <w:r>
        <w:rPr>
          <w:color w:val="231F20"/>
          <w:spacing w:val="9"/>
        </w:rPr>
        <w:t>）观看反射过程的动</w:t>
      </w:r>
      <w:r>
        <w:rPr>
          <w:color w:val="231F20"/>
          <w:spacing w:val="-11"/>
        </w:rPr>
        <w:t>画，分析反射弧的组成；</w:t>
      </w:r>
      <w:r>
        <w:rPr>
          <w:color w:val="231F20"/>
        </w:rPr>
        <w:t>（</w:t>
      </w:r>
      <w:r>
        <w:rPr>
          <w:rFonts w:ascii="Times New Roman" w:eastAsia="Times New Roman"/>
          <w:color w:val="231F20"/>
        </w:rPr>
        <w:t>4</w:t>
      </w:r>
      <w:r>
        <w:rPr>
          <w:color w:val="231F20"/>
        </w:rPr>
        <w:t>）通过资料分析神经系统受损对人体运动</w:t>
      </w:r>
      <w:r>
        <w:rPr>
          <w:color w:val="231F20"/>
          <w:spacing w:val="-7"/>
        </w:rPr>
        <w:t>等行为的影响，探讨神经调节的结构基础；</w:t>
      </w:r>
      <w:r>
        <w:rPr>
          <w:color w:val="231F20"/>
        </w:rPr>
        <w:t>（</w:t>
      </w:r>
      <w:r>
        <w:rPr>
          <w:rFonts w:ascii="Times New Roman" w:eastAsia="Times New Roman"/>
          <w:color w:val="231F20"/>
        </w:rPr>
        <w:t>5</w:t>
      </w:r>
      <w:r>
        <w:rPr>
          <w:color w:val="231F20"/>
        </w:rPr>
        <w:t>）以某种激素的发现史</w:t>
      </w:r>
      <w:r>
        <w:rPr>
          <w:color w:val="231F20"/>
          <w:spacing w:val="-8"/>
        </w:rPr>
        <w:t>为例，讨论研究激素生理功能的方法；</w:t>
      </w:r>
      <w:r>
        <w:rPr>
          <w:color w:val="231F20"/>
        </w:rPr>
        <w:t>（</w:t>
      </w:r>
      <w:r>
        <w:rPr>
          <w:rFonts w:ascii="Times New Roman" w:eastAsia="Times New Roman"/>
          <w:color w:val="231F20"/>
        </w:rPr>
        <w:t>6</w:t>
      </w:r>
      <w:r>
        <w:rPr>
          <w:color w:val="231F20"/>
        </w:rPr>
        <w:t>）结合日常生活，讨论生活</w:t>
      </w:r>
      <w:r>
        <w:rPr>
          <w:color w:val="231F20"/>
          <w:spacing w:val="-6"/>
        </w:rPr>
        <w:t>用品或食品中含有过量激素对人体健康的影响；</w:t>
      </w:r>
      <w:r>
        <w:rPr>
          <w:color w:val="231F20"/>
        </w:rPr>
        <w:t>（</w:t>
      </w:r>
      <w:r>
        <w:rPr>
          <w:rFonts w:ascii="Times New Roman" w:eastAsia="Times New Roman"/>
          <w:color w:val="231F20"/>
        </w:rPr>
        <w:t>7</w:t>
      </w:r>
      <w:r>
        <w:rPr>
          <w:color w:val="231F20"/>
        </w:rPr>
        <w:t>）讨论滥用兴奋剂</w:t>
      </w:r>
      <w:r>
        <w:rPr>
          <w:color w:val="231F20"/>
          <w:spacing w:val="-12"/>
        </w:rPr>
        <w:t>以及吸食毒品的危害；</w:t>
      </w:r>
      <w:r>
        <w:rPr>
          <w:color w:val="231F20"/>
        </w:rPr>
        <w:t>（</w:t>
      </w:r>
      <w:r>
        <w:rPr>
          <w:rFonts w:ascii="Times New Roman" w:eastAsia="Times New Roman"/>
          <w:color w:val="231F20"/>
        </w:rPr>
        <w:t>8</w:t>
      </w:r>
      <w:r>
        <w:rPr>
          <w:color w:val="231F20"/>
        </w:rPr>
        <w:t>）结合个人免疫接种的经历，探讨免疫制剂</w:t>
      </w:r>
      <w:r>
        <w:rPr>
          <w:color w:val="231F20"/>
          <w:spacing w:val="-30"/>
        </w:rPr>
        <w:t>的作用；</w:t>
      </w:r>
      <w:r>
        <w:rPr>
          <w:color w:val="231F20"/>
        </w:rPr>
        <w:t>（</w:t>
      </w:r>
      <w:r>
        <w:rPr>
          <w:rFonts w:ascii="Times New Roman" w:eastAsia="Times New Roman"/>
          <w:color w:val="231F20"/>
        </w:rPr>
        <w:t>9</w:t>
      </w:r>
      <w:r>
        <w:rPr>
          <w:color w:val="231F20"/>
        </w:rPr>
        <w:t>）讨论器官移植与组织相容性抗原的关系，并探讨干细胞</w:t>
      </w:r>
      <w:r>
        <w:rPr>
          <w:color w:val="231F20"/>
          <w:spacing w:val="-20"/>
        </w:rPr>
        <w:t>移植的价值；</w:t>
      </w:r>
      <w:r>
        <w:rPr>
          <w:color w:val="231F20"/>
        </w:rPr>
        <w:t>（</w:t>
      </w:r>
      <w:r>
        <w:rPr>
          <w:rFonts w:ascii="Times New Roman" w:eastAsia="Times New Roman"/>
          <w:color w:val="231F20"/>
        </w:rPr>
        <w:t>10</w:t>
      </w:r>
      <w:r>
        <w:rPr>
          <w:color w:val="231F20"/>
        </w:rPr>
        <w:t>）查找植物激素在生产中应用的相关资料。</w:t>
      </w:r>
    </w:p>
    <w:p>
      <w:pPr>
        <w:pStyle w:val="BodyText"/>
        <w:spacing w:before="11"/>
        <w:rPr>
          <w:sz w:val="31"/>
        </w:rPr>
      </w:pPr>
    </w:p>
    <w:p>
      <w:pPr>
        <w:pStyle w:val="BodyText"/>
        <w:ind w:left="580"/>
      </w:pPr>
      <w:r>
        <w:rPr>
          <w:color w:val="231F20"/>
        </w:rPr>
        <w:t>【学业要求】</w:t>
      </w:r>
    </w:p>
    <w:p>
      <w:pPr>
        <w:pStyle w:val="BodyText"/>
        <w:spacing w:before="111"/>
        <w:ind w:left="700"/>
      </w:pPr>
      <w:r>
        <w:rPr>
          <w:color w:val="231F20"/>
        </w:rPr>
        <w:t>完成本模块学习后，学生应该能够：</w:t>
      </w:r>
    </w:p>
    <w:p>
      <w:pPr>
        <w:pStyle w:val="ListParagraph"/>
        <w:numPr>
          <w:ilvl w:val="1"/>
          <w:numId w:val="29"/>
        </w:numPr>
        <w:tabs>
          <w:tab w:val="left" w:pos="884"/>
        </w:tabs>
        <w:spacing w:before="113" w:after="0" w:line="240" w:lineRule="auto"/>
        <w:ind w:left="883" w:right="0" w:hanging="184"/>
        <w:jc w:val="left"/>
        <w:rPr>
          <w:sz w:val="24"/>
        </w:rPr>
      </w:pPr>
      <w:r>
        <w:rPr>
          <w:color w:val="231F20"/>
          <w:sz w:val="24"/>
        </w:rPr>
        <w:t>运用图示和模型等方法，表征并阐释内环境为机体细胞提供适</w:t>
      </w:r>
    </w:p>
    <w:p>
      <w:pPr>
        <w:spacing w:after="0" w:line="240" w:lineRule="auto"/>
        <w:jc w:val="left"/>
        <w:rPr>
          <w:sz w:val="24"/>
        </w:rPr>
        <w:sectPr>
          <w:pgSz w:w="10780" w:h="15090"/>
          <w:pgMar w:top="1260" w:right="1460" w:bottom="1400" w:left="1480" w:header="989" w:footer="1217"/>
          <w:cols w:space="708"/>
        </w:sectPr>
      </w:pPr>
    </w:p>
    <w:p>
      <w:pPr>
        <w:pStyle w:val="BodyText"/>
        <w:spacing w:before="7"/>
        <w:rPr>
          <w:sz w:val="29"/>
        </w:rPr>
      </w:pPr>
    </w:p>
    <w:p>
      <w:pPr>
        <w:pStyle w:val="BodyText"/>
        <w:spacing w:before="72"/>
        <w:ind w:left="390"/>
      </w:pPr>
      <w:r>
        <w:rPr>
          <w:color w:val="231F20"/>
        </w:rPr>
        <w:t>宜的生存环境并与外界环境进行物质交换（生命观念、科学思维</w:t>
      </w:r>
      <w:r>
        <w:rPr>
          <w:color w:val="231F20"/>
          <w:spacing w:val="-90"/>
        </w:rPr>
        <w:t>）；</w:t>
      </w:r>
    </w:p>
    <w:p>
      <w:pPr>
        <w:pStyle w:val="ListParagraph"/>
        <w:numPr>
          <w:ilvl w:val="2"/>
          <w:numId w:val="29"/>
        </w:numPr>
        <w:tabs>
          <w:tab w:val="left" w:pos="1054"/>
        </w:tabs>
        <w:spacing w:before="111" w:after="0" w:line="328" w:lineRule="auto"/>
        <w:ind w:left="390" w:right="236" w:firstLine="480"/>
        <w:jc w:val="both"/>
        <w:rPr>
          <w:sz w:val="24"/>
        </w:rPr>
      </w:pPr>
      <w:r>
        <w:rPr>
          <w:color w:val="231F20"/>
          <w:sz w:val="24"/>
        </w:rPr>
        <w:t>结合日常生活中的情境，分析说明人体通过神经系统、内分泌</w:t>
      </w:r>
      <w:r>
        <w:rPr>
          <w:color w:val="231F20"/>
          <w:spacing w:val="-1"/>
          <w:sz w:val="24"/>
        </w:rPr>
        <w:t>系统以及免疫系统的调节作用对内外环境的变化作出反应，以维持内</w:t>
      </w:r>
      <w:r>
        <w:rPr>
          <w:color w:val="231F20"/>
          <w:sz w:val="24"/>
        </w:rPr>
        <w:t>环境稳态（生命观念、科学思维</w:t>
      </w:r>
      <w:r>
        <w:rPr>
          <w:color w:val="231F20"/>
          <w:spacing w:val="-90"/>
          <w:sz w:val="24"/>
        </w:rPr>
        <w:t>）；</w:t>
      </w:r>
    </w:p>
    <w:p>
      <w:pPr>
        <w:pStyle w:val="ListParagraph"/>
        <w:numPr>
          <w:ilvl w:val="2"/>
          <w:numId w:val="29"/>
        </w:numPr>
        <w:tabs>
          <w:tab w:val="left" w:pos="1054"/>
        </w:tabs>
        <w:spacing w:before="0" w:after="0" w:line="328" w:lineRule="auto"/>
        <w:ind w:left="390" w:right="236" w:firstLine="480"/>
        <w:jc w:val="both"/>
        <w:rPr>
          <w:sz w:val="24"/>
        </w:rPr>
      </w:pPr>
      <w:r>
        <w:rPr>
          <w:color w:val="231F20"/>
          <w:sz w:val="24"/>
        </w:rPr>
        <w:t>评估多种生活方案，认同并采纳健康文明的生活方式，远离毒品，向他人宣传毒品的危害及传染病的防控措施等（</w:t>
      </w:r>
      <w:r>
        <w:rPr>
          <w:color w:val="231F20"/>
          <w:spacing w:val="-3"/>
          <w:sz w:val="24"/>
        </w:rPr>
        <w:t>科学思维、社会</w:t>
      </w:r>
      <w:r>
        <w:rPr>
          <w:color w:val="231F20"/>
          <w:sz w:val="24"/>
        </w:rPr>
        <w:t>责任</w:t>
      </w:r>
      <w:r>
        <w:rPr>
          <w:color w:val="231F20"/>
          <w:spacing w:val="-90"/>
          <w:sz w:val="24"/>
        </w:rPr>
        <w:t>）；</w:t>
      </w:r>
    </w:p>
    <w:p>
      <w:pPr>
        <w:pStyle w:val="ListParagraph"/>
        <w:numPr>
          <w:ilvl w:val="2"/>
          <w:numId w:val="29"/>
        </w:numPr>
        <w:tabs>
          <w:tab w:val="left" w:pos="1054"/>
        </w:tabs>
        <w:spacing w:before="0" w:after="0" w:line="328" w:lineRule="auto"/>
        <w:ind w:left="390" w:right="234" w:firstLine="480"/>
        <w:jc w:val="both"/>
        <w:rPr>
          <w:sz w:val="24"/>
        </w:rPr>
      </w:pPr>
      <w:r>
        <w:rPr>
          <w:color w:val="231F20"/>
          <w:sz w:val="24"/>
        </w:rPr>
        <w:t>基于植物激素在生产生活中应用的相关资料，结合植物激素和其他因素对植物生命活动的调节，分析并尝试提出生产实践方案（</w:t>
      </w:r>
      <w:r>
        <w:rPr>
          <w:color w:val="231F20"/>
          <w:spacing w:val="-13"/>
          <w:sz w:val="24"/>
        </w:rPr>
        <w:t>科</w:t>
      </w:r>
      <w:r>
        <w:rPr>
          <w:color w:val="231F20"/>
          <w:sz w:val="24"/>
        </w:rPr>
        <w:t>学探究、社会责任</w:t>
      </w:r>
      <w:r>
        <w:rPr>
          <w:color w:val="231F20"/>
          <w:spacing w:val="-90"/>
          <w:sz w:val="24"/>
        </w:rPr>
        <w:t>）。</w:t>
      </w:r>
    </w:p>
    <w:p>
      <w:pPr>
        <w:pStyle w:val="BodyText"/>
        <w:spacing w:before="5"/>
        <w:rPr>
          <w:sz w:val="21"/>
        </w:rPr>
      </w:pPr>
    </w:p>
    <w:tbl>
      <w:tblPr>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
      <w:tblGrid>
        <w:gridCol w:w="493"/>
        <w:gridCol w:w="2523"/>
        <w:gridCol w:w="4175"/>
      </w:tblGrid>
      <w:tr>
        <w:tblPrEx>
          <w:tblW w:w="0" w:type="auto"/>
          <w:jc w:val="left"/>
          <w:tblInd w:w="408" w:type="dxa"/>
          <w:tblBorders>
            <w:top w:val="single" w:sz="12" w:space="0" w:color="231F20"/>
            <w:left w:val="single" w:sz="12" w:space="0" w:color="231F20"/>
            <w:bottom w:val="single" w:sz="12" w:space="0" w:color="231F20"/>
            <w:right w:val="single" w:sz="12" w:space="0" w:color="231F20"/>
            <w:insideH w:val="single" w:sz="12" w:space="0" w:color="231F20"/>
            <w:insideV w:val="single" w:sz="12" w:space="0" w:color="231F20"/>
          </w:tblBorders>
          <w:tblLayout w:type="fixed"/>
          <w:tblCellMar>
            <w:top w:w="0" w:type="dxa"/>
            <w:left w:w="0" w:type="dxa"/>
            <w:bottom w:w="0" w:type="dxa"/>
            <w:right w:w="0" w:type="dxa"/>
          </w:tblCellMar>
          <w:tblLook w:val="01E0"/>
        </w:tblPrEx>
        <w:trPr>
          <w:trHeight w:val="162"/>
          <w:jc w:val="left"/>
        </w:trPr>
        <w:tc>
          <w:tcPr>
            <w:tcW w:w="493" w:type="dxa"/>
            <w:tcBorders>
              <w:top w:val="nil"/>
              <w:left w:val="nil"/>
              <w:bottom w:val="dotted" w:sz="8" w:space="0" w:color="231F20"/>
            </w:tcBorders>
          </w:tcPr>
          <w:p>
            <w:pPr>
              <w:pStyle w:val="TableParagraph"/>
              <w:rPr>
                <w:rFonts w:ascii="Times New Roman"/>
                <w:sz w:val="10"/>
              </w:rPr>
            </w:pPr>
          </w:p>
        </w:tc>
        <w:tc>
          <w:tcPr>
            <w:tcW w:w="2523" w:type="dxa"/>
            <w:tcBorders>
              <w:bottom w:val="dotted" w:sz="8" w:space="0" w:color="231F20"/>
            </w:tcBorders>
          </w:tcPr>
          <w:p>
            <w:pPr>
              <w:pStyle w:val="TableParagraph"/>
              <w:tabs>
                <w:tab w:val="left" w:pos="1052"/>
              </w:tabs>
              <w:spacing w:line="143" w:lineRule="exact"/>
              <w:ind w:left="172"/>
              <w:rPr>
                <w:sz w:val="26"/>
              </w:rPr>
            </w:pPr>
            <w:r>
              <w:rPr>
                <w:color w:val="231F20"/>
                <w:spacing w:val="-16"/>
                <w:sz w:val="26"/>
              </w:rPr>
              <w:t>模</w:t>
            </w:r>
            <w:r>
              <w:rPr>
                <w:color w:val="231F20"/>
                <w:spacing w:val="16"/>
                <w:sz w:val="26"/>
              </w:rPr>
              <w:t>块</w:t>
            </w:r>
            <w:r>
              <w:rPr>
                <w:rFonts w:ascii="Times New Roman" w:eastAsia="Times New Roman"/>
                <w:color w:val="231F20"/>
                <w:sz w:val="26"/>
              </w:rPr>
              <w:t>2</w:t>
              <w:tab/>
            </w:r>
            <w:r>
              <w:rPr>
                <w:color w:val="231F20"/>
                <w:spacing w:val="-16"/>
                <w:sz w:val="26"/>
              </w:rPr>
              <w:t>生物与环境</w:t>
            </w:r>
          </w:p>
        </w:tc>
        <w:tc>
          <w:tcPr>
            <w:tcW w:w="4175" w:type="dxa"/>
            <w:tcBorders>
              <w:top w:val="nil"/>
              <w:bottom w:val="dotted" w:sz="8" w:space="0" w:color="231F20"/>
              <w:right w:val="nil"/>
            </w:tcBorders>
          </w:tcPr>
          <w:p>
            <w:pPr>
              <w:pStyle w:val="TableParagraph"/>
              <w:rPr>
                <w:rFonts w:ascii="Times New Roman"/>
                <w:sz w:val="10"/>
              </w:rPr>
            </w:pPr>
          </w:p>
        </w:tc>
      </w:tr>
      <w:tr>
        <w:tblPrEx>
          <w:tblW w:w="0" w:type="auto"/>
          <w:jc w:val="left"/>
          <w:tblInd w:w="408" w:type="dxa"/>
          <w:tblLayout w:type="fixed"/>
          <w:tblCellMar>
            <w:top w:w="0" w:type="dxa"/>
            <w:left w:w="0" w:type="dxa"/>
            <w:bottom w:w="0" w:type="dxa"/>
            <w:right w:w="0" w:type="dxa"/>
          </w:tblCellMar>
          <w:tblLook w:val="01E0"/>
        </w:tblPrEx>
        <w:trPr>
          <w:trHeight w:val="162"/>
          <w:jc w:val="left"/>
        </w:trPr>
        <w:tc>
          <w:tcPr>
            <w:tcW w:w="493" w:type="dxa"/>
            <w:tcBorders>
              <w:top w:val="dotted" w:sz="8" w:space="0" w:color="231F20"/>
              <w:left w:val="nil"/>
              <w:bottom w:val="nil"/>
            </w:tcBorders>
          </w:tcPr>
          <w:p>
            <w:pPr>
              <w:pStyle w:val="TableParagraph"/>
              <w:rPr>
                <w:rFonts w:ascii="Times New Roman"/>
                <w:sz w:val="10"/>
              </w:rPr>
            </w:pPr>
          </w:p>
        </w:tc>
        <w:tc>
          <w:tcPr>
            <w:tcW w:w="2523" w:type="dxa"/>
            <w:tcBorders>
              <w:top w:val="dotted" w:sz="8" w:space="0" w:color="231F20"/>
            </w:tcBorders>
          </w:tcPr>
          <w:p>
            <w:pPr>
              <w:pStyle w:val="TableParagraph"/>
              <w:rPr>
                <w:rFonts w:ascii="Times New Roman"/>
                <w:sz w:val="10"/>
              </w:rPr>
            </w:pPr>
          </w:p>
        </w:tc>
        <w:tc>
          <w:tcPr>
            <w:tcW w:w="4175" w:type="dxa"/>
            <w:tcBorders>
              <w:top w:val="dotted" w:sz="8" w:space="0" w:color="231F20"/>
              <w:bottom w:val="nil"/>
              <w:right w:val="nil"/>
            </w:tcBorders>
          </w:tcPr>
          <w:p>
            <w:pPr>
              <w:pStyle w:val="TableParagraph"/>
              <w:rPr>
                <w:rFonts w:ascii="Times New Roman"/>
                <w:sz w:val="10"/>
              </w:rPr>
            </w:pPr>
          </w:p>
        </w:tc>
      </w:tr>
    </w:tbl>
    <w:p>
      <w:pPr>
        <w:pStyle w:val="BodyText"/>
        <w:spacing w:before="1"/>
        <w:rPr>
          <w:sz w:val="7"/>
        </w:rPr>
      </w:pPr>
    </w:p>
    <w:p>
      <w:pPr>
        <w:pStyle w:val="Heading4"/>
        <w:spacing w:before="65" w:line="302" w:lineRule="auto"/>
        <w:ind w:left="1211" w:right="378" w:firstLine="0"/>
        <w:jc w:val="left"/>
      </w:pPr>
      <w:r>
        <w:pict>
          <v:shape id="_x0000_s1068" style="width:126.3pt;height:18.8pt;margin-top:-23.85pt;margin-left:118.62pt;mso-position-horizontal-relative:page;position:absolute;z-index:-251649024" coordorigin="2372,-477" coordsize="2526,376" path="m4723,-477l2547,-477,2446,-474,2394,-457,2375,-409,2372,-317,2372,-262,2375,-169,2394,-122,2446,-104,2547,-102,4723,-102,4824,-104,4876,-122,4895,-169,4898,-262,4898,-317,4895,-409,4876,-457,4824,-474,4723,-477xe" filled="t" fillcolor="#e6e7e8" stroked="f">
            <v:fill type="solid"/>
            <v:path arrowok="t"/>
          </v:shape>
        </w:pict>
      </w:r>
      <w:r>
        <w:rPr>
          <w:color w:val="231F20"/>
        </w:rPr>
        <w:t>本模块包括种群和群落、生态系统、环境保护等内容。在生态系统中，生物与环境之间相互影响，种群数量</w:t>
      </w:r>
    </w:p>
    <w:p>
      <w:pPr>
        <w:spacing w:before="0" w:line="302" w:lineRule="auto"/>
        <w:ind w:left="731" w:right="447" w:firstLine="0"/>
        <w:jc w:val="left"/>
        <w:rPr>
          <w:sz w:val="26"/>
        </w:rPr>
      </w:pPr>
      <w:r>
        <w:rPr>
          <w:color w:val="231F20"/>
          <w:sz w:val="26"/>
        </w:rPr>
        <w:t>不断变化，群落也处在演替过程中。生态系统通过自动调</w:t>
      </w:r>
      <w:r>
        <w:rPr>
          <w:color w:val="231F20"/>
          <w:spacing w:val="-7"/>
          <w:sz w:val="26"/>
        </w:rPr>
        <w:t>节作用，实现物质循环和能量流动的相对稳定，形成稳态。人类的活动对环境产生重大的影响，环境保护已成为全人类共同关心的问题。</w:t>
      </w:r>
    </w:p>
    <w:p>
      <w:pPr>
        <w:spacing w:before="1" w:line="302" w:lineRule="auto"/>
        <w:ind w:left="731" w:right="575" w:firstLine="479"/>
        <w:jc w:val="both"/>
        <w:rPr>
          <w:sz w:val="26"/>
        </w:rPr>
      </w:pPr>
      <w:r>
        <w:rPr>
          <w:color w:val="231F20"/>
          <w:sz w:val="26"/>
        </w:rPr>
        <w:t>本模块选取有关生物与环境的知识，有助于学生理解生命活动的本质，了解系统分析的思想和方法，提高对生命系统与环境关系的认识，并为学生树立人与自然和谐共处的观念、形成生态意识、环保意识和践行绿色低碳生活方式奠定基础。</w:t>
      </w:r>
    </w:p>
    <w:p>
      <w:pPr>
        <w:pStyle w:val="BodyText"/>
        <w:spacing w:before="8"/>
        <w:rPr>
          <w:sz w:val="9"/>
        </w:rPr>
      </w:pPr>
      <w:r>
        <w:pict>
          <v:group id="_x0000_s1069" style="width:359.5pt;height:1pt;margin-top:8.15pt;margin-left:94.04pt;mso-position-horizontal-relative:page;mso-wrap-distance-left:0;mso-wrap-distance-right:0;position:absolute;z-index:-251634688" coordorigin="1881,163" coordsize="7190,20">
            <v:line id="_x0000_s1070" style="position:absolute" from="1941,173" to="9041,173" stroked="t" strokecolor="#231f20" strokeweight="1pt">
              <v:stroke dashstyle="dot"/>
            </v:line>
            <v:line id="_x0000_s1071" style="position:absolute" from="1881,173" to="1881,173" stroked="t" strokecolor="#231f20" strokeweight="1pt">
              <v:stroke dashstyle="solid"/>
            </v:line>
            <v:line id="_x0000_s1072" style="position:absolute" from="9071,173" to="9071,173" stroked="t" strokecolor="#231f20" strokeweight="1pt">
              <v:stroke dashstyle="solid"/>
            </v:line>
            <w10:wrap type="topAndBottom"/>
          </v:group>
        </w:pict>
      </w:r>
    </w:p>
    <w:p>
      <w:pPr>
        <w:spacing w:after="0"/>
        <w:rPr>
          <w:sz w:val="9"/>
        </w:rPr>
        <w:sectPr>
          <w:pgSz w:w="10780" w:h="15090"/>
          <w:pgMar w:top="1260" w:right="1460" w:bottom="1400" w:left="1480" w:header="1029" w:footer="1217"/>
          <w:cols w:space="708"/>
        </w:sectPr>
      </w:pPr>
    </w:p>
    <w:p>
      <w:pPr>
        <w:pStyle w:val="BodyText"/>
        <w:rPr>
          <w:sz w:val="20"/>
        </w:rPr>
      </w:pPr>
    </w:p>
    <w:p>
      <w:pPr>
        <w:pStyle w:val="BodyText"/>
        <w:spacing w:before="204"/>
        <w:ind w:left="580"/>
      </w:pPr>
      <w:r>
        <w:rPr>
          <w:color w:val="231F20"/>
        </w:rPr>
        <w:t>【内容要求】</w:t>
      </w:r>
    </w:p>
    <w:p>
      <w:pPr>
        <w:pStyle w:val="BodyText"/>
        <w:tabs>
          <w:tab w:val="left" w:pos="1080"/>
        </w:tabs>
        <w:spacing w:before="139" w:line="328" w:lineRule="auto"/>
        <w:ind w:left="1080" w:right="287" w:hanging="860"/>
      </w:pPr>
      <w:r>
        <w:rPr>
          <w:color w:val="231F20"/>
          <w:spacing w:val="-6"/>
        </w:rPr>
        <w:t>概</w:t>
      </w:r>
      <w:r>
        <w:rPr>
          <w:color w:val="231F20"/>
          <w:spacing w:val="24"/>
        </w:rPr>
        <w:t>念</w:t>
      </w:r>
      <w:r>
        <w:rPr>
          <w:rFonts w:ascii="Arial" w:eastAsia="Arial"/>
          <w:color w:val="231F20"/>
        </w:rPr>
        <w:t>2</w:t>
        <w:tab/>
      </w:r>
      <w:r>
        <w:rPr>
          <w:color w:val="231F20"/>
          <w:spacing w:val="-1"/>
        </w:rPr>
        <w:t>生态系统中</w:t>
      </w:r>
      <w:r>
        <w:rPr>
          <w:color w:val="231F20"/>
        </w:rPr>
        <w:t>的各种成分相互影</w:t>
      </w:r>
      <w:r>
        <w:rPr>
          <w:color w:val="231F20"/>
          <w:spacing w:val="-6"/>
        </w:rPr>
        <w:t>响</w:t>
      </w:r>
      <w:r>
        <w:rPr>
          <w:color w:val="231F20"/>
        </w:rPr>
        <w:t>，共同实现系统的物质循</w:t>
      </w:r>
      <w:r>
        <w:rPr>
          <w:color w:val="231F20"/>
          <w:spacing w:val="-6"/>
        </w:rPr>
        <w:t>环</w:t>
      </w:r>
      <w:r>
        <w:rPr>
          <w:color w:val="231F20"/>
        </w:rPr>
        <w:t>、</w:t>
      </w:r>
      <w:r>
        <w:rPr>
          <w:color w:val="231F20"/>
          <w:spacing w:val="-6"/>
        </w:rPr>
        <w:t>能量流动和信息传递，生态系统通过自我调节保持相对稳定的状态</w:t>
      </w:r>
    </w:p>
    <w:p>
      <w:pPr>
        <w:pStyle w:val="ListParagraph"/>
        <w:numPr>
          <w:ilvl w:val="1"/>
          <w:numId w:val="28"/>
        </w:numPr>
        <w:tabs>
          <w:tab w:val="left" w:pos="643"/>
        </w:tabs>
        <w:spacing w:before="25" w:after="0" w:line="328" w:lineRule="auto"/>
        <w:ind w:left="660" w:right="406" w:hanging="440"/>
        <w:jc w:val="left"/>
        <w:rPr>
          <w:sz w:val="24"/>
        </w:rPr>
      </w:pPr>
      <w:r>
        <w:rPr>
          <w:color w:val="231F20"/>
          <w:spacing w:val="-1"/>
          <w:sz w:val="24"/>
        </w:rPr>
        <w:t>不同种群的生物在长期适应环境和彼此相互适应的过程中形成动</w:t>
      </w:r>
      <w:r>
        <w:rPr>
          <w:color w:val="231F20"/>
          <w:sz w:val="24"/>
        </w:rPr>
        <w:t>态的生物群落</w:t>
      </w:r>
    </w:p>
    <w:p>
      <w:pPr>
        <w:pStyle w:val="ListParagraph"/>
        <w:numPr>
          <w:ilvl w:val="2"/>
          <w:numId w:val="28"/>
        </w:numPr>
        <w:tabs>
          <w:tab w:val="left" w:pos="1287"/>
        </w:tabs>
        <w:spacing w:before="0" w:after="0" w:line="328" w:lineRule="auto"/>
        <w:ind w:left="1320" w:right="405" w:hanging="640"/>
        <w:jc w:val="left"/>
        <w:rPr>
          <w:sz w:val="24"/>
        </w:rPr>
      </w:pPr>
      <w:r>
        <w:rPr>
          <w:color w:val="231F20"/>
          <w:spacing w:val="3"/>
          <w:sz w:val="24"/>
        </w:rPr>
        <w:t>列举种群具有种群密度、出生率和死亡率、迁入率和迁出</w:t>
      </w:r>
      <w:r>
        <w:rPr>
          <w:color w:val="231F20"/>
          <w:sz w:val="24"/>
        </w:rPr>
        <w:t>率、年龄结构、性别比例等特征</w:t>
      </w:r>
    </w:p>
    <w:p>
      <w:pPr>
        <w:pStyle w:val="ListParagraph"/>
        <w:numPr>
          <w:ilvl w:val="2"/>
          <w:numId w:val="28"/>
        </w:numPr>
        <w:tabs>
          <w:tab w:val="left" w:pos="1281"/>
        </w:tabs>
        <w:spacing w:before="0" w:after="0" w:line="305" w:lineRule="exact"/>
        <w:ind w:left="1280" w:right="0" w:hanging="601"/>
        <w:jc w:val="left"/>
        <w:rPr>
          <w:sz w:val="24"/>
        </w:rPr>
      </w:pPr>
      <w:r>
        <w:rPr>
          <w:color w:val="231F20"/>
          <w:sz w:val="24"/>
        </w:rPr>
        <w:t>尝试建立数学模型解释种群的数量变动</w:t>
      </w:r>
    </w:p>
    <w:p>
      <w:pPr>
        <w:pStyle w:val="ListParagraph"/>
        <w:numPr>
          <w:ilvl w:val="2"/>
          <w:numId w:val="28"/>
        </w:numPr>
        <w:tabs>
          <w:tab w:val="left" w:pos="1287"/>
        </w:tabs>
        <w:spacing w:before="110" w:after="0" w:line="328" w:lineRule="auto"/>
        <w:ind w:left="1320" w:right="405" w:hanging="640"/>
        <w:jc w:val="left"/>
        <w:rPr>
          <w:sz w:val="24"/>
        </w:rPr>
      </w:pPr>
      <w:r>
        <w:rPr>
          <w:color w:val="231F20"/>
          <w:spacing w:val="4"/>
          <w:sz w:val="24"/>
        </w:rPr>
        <w:t>举例说明阳光、温度和水等非生物因素以及不同物种之间</w:t>
      </w:r>
      <w:r>
        <w:rPr>
          <w:color w:val="231F20"/>
          <w:sz w:val="24"/>
        </w:rPr>
        <w:t>的相互作用都会影响生物的种群特征</w:t>
      </w:r>
    </w:p>
    <w:p>
      <w:pPr>
        <w:pStyle w:val="ListParagraph"/>
        <w:numPr>
          <w:ilvl w:val="2"/>
          <w:numId w:val="28"/>
        </w:numPr>
        <w:tabs>
          <w:tab w:val="left" w:pos="1286"/>
        </w:tabs>
        <w:spacing w:before="0" w:after="0" w:line="328" w:lineRule="auto"/>
        <w:ind w:left="1319" w:right="405" w:hanging="640"/>
        <w:jc w:val="left"/>
        <w:rPr>
          <w:sz w:val="24"/>
        </w:rPr>
      </w:pPr>
      <w:r>
        <w:rPr>
          <w:color w:val="231F20"/>
          <w:spacing w:val="4"/>
          <w:sz w:val="24"/>
        </w:rPr>
        <w:t>描述群落具有垂直结构和水平结构等特征，并可随时间而</w:t>
      </w:r>
      <w:r>
        <w:rPr>
          <w:color w:val="231F20"/>
          <w:sz w:val="24"/>
        </w:rPr>
        <w:t>改变</w:t>
      </w:r>
    </w:p>
    <w:p>
      <w:pPr>
        <w:pStyle w:val="ListParagraph"/>
        <w:numPr>
          <w:ilvl w:val="2"/>
          <w:numId w:val="28"/>
        </w:numPr>
        <w:tabs>
          <w:tab w:val="left" w:pos="1286"/>
        </w:tabs>
        <w:spacing w:before="0" w:after="0" w:line="328" w:lineRule="auto"/>
        <w:ind w:left="1319" w:right="405" w:hanging="640"/>
        <w:jc w:val="left"/>
        <w:rPr>
          <w:sz w:val="24"/>
        </w:rPr>
      </w:pPr>
      <w:r>
        <w:rPr>
          <w:color w:val="231F20"/>
          <w:spacing w:val="4"/>
          <w:sz w:val="24"/>
        </w:rPr>
        <w:t>阐明一个群落替代另一个群落的演替过程，包括初生演替</w:t>
      </w:r>
      <w:r>
        <w:rPr>
          <w:color w:val="231F20"/>
          <w:sz w:val="24"/>
        </w:rPr>
        <w:t>和次生演替两种类型</w:t>
      </w:r>
    </w:p>
    <w:p>
      <w:pPr>
        <w:pStyle w:val="ListParagraph"/>
        <w:numPr>
          <w:ilvl w:val="2"/>
          <w:numId w:val="28"/>
        </w:numPr>
        <w:tabs>
          <w:tab w:val="left" w:pos="1286"/>
        </w:tabs>
        <w:spacing w:before="0" w:after="0" w:line="328" w:lineRule="auto"/>
        <w:ind w:left="1319" w:right="406" w:hanging="640"/>
        <w:jc w:val="left"/>
        <w:rPr>
          <w:sz w:val="24"/>
        </w:rPr>
      </w:pPr>
      <w:r>
        <w:rPr>
          <w:color w:val="231F20"/>
          <w:spacing w:val="5"/>
          <w:sz w:val="24"/>
        </w:rPr>
        <w:t>分析不同群落中的生物具有与该群落环境相适应的形态结</w:t>
      </w:r>
      <w:r>
        <w:rPr>
          <w:color w:val="231F20"/>
          <w:sz w:val="24"/>
        </w:rPr>
        <w:t>构、生理特征和分布特点</w:t>
      </w:r>
    </w:p>
    <w:p>
      <w:pPr>
        <w:pStyle w:val="ListParagraph"/>
        <w:numPr>
          <w:ilvl w:val="1"/>
          <w:numId w:val="28"/>
        </w:numPr>
        <w:tabs>
          <w:tab w:val="left" w:pos="647"/>
        </w:tabs>
        <w:spacing w:before="0" w:after="0" w:line="328" w:lineRule="auto"/>
        <w:ind w:left="659" w:right="288" w:hanging="441"/>
        <w:jc w:val="left"/>
        <w:rPr>
          <w:sz w:val="24"/>
        </w:rPr>
      </w:pPr>
      <w:r>
        <w:rPr>
          <w:color w:val="231F20"/>
          <w:spacing w:val="4"/>
          <w:sz w:val="24"/>
        </w:rPr>
        <w:t>生物群落与非生物的环境因素相互作用形成多样化的生态系统， 完成物质循环、能量流动和信息传递</w:t>
      </w:r>
    </w:p>
    <w:p>
      <w:pPr>
        <w:pStyle w:val="ListParagraph"/>
        <w:numPr>
          <w:ilvl w:val="2"/>
          <w:numId w:val="28"/>
        </w:numPr>
        <w:tabs>
          <w:tab w:val="left" w:pos="1286"/>
        </w:tabs>
        <w:spacing w:before="0" w:after="0" w:line="328" w:lineRule="auto"/>
        <w:ind w:left="1319" w:right="404" w:hanging="640"/>
        <w:jc w:val="both"/>
        <w:rPr>
          <w:sz w:val="24"/>
        </w:rPr>
      </w:pPr>
      <w:r>
        <w:rPr>
          <w:color w:val="231F20"/>
          <w:spacing w:val="4"/>
          <w:sz w:val="24"/>
        </w:rPr>
        <w:t>阐明生态系统由生产者、消费者和分解者等生物因素以及</w:t>
      </w:r>
      <w:r>
        <w:rPr>
          <w:color w:val="231F20"/>
          <w:sz w:val="24"/>
        </w:rPr>
        <w:t>阳光、空气、水等非生物因素组成，各组分紧密联系使生态系统成为具有一定结构和功能的统一体</w:t>
      </w:r>
    </w:p>
    <w:p>
      <w:pPr>
        <w:pStyle w:val="ListParagraph"/>
        <w:numPr>
          <w:ilvl w:val="2"/>
          <w:numId w:val="28"/>
        </w:numPr>
        <w:tabs>
          <w:tab w:val="left" w:pos="1285"/>
        </w:tabs>
        <w:spacing w:before="0" w:after="0" w:line="328" w:lineRule="auto"/>
        <w:ind w:left="1319" w:right="406" w:hanging="640"/>
        <w:jc w:val="both"/>
        <w:rPr>
          <w:sz w:val="24"/>
        </w:rPr>
      </w:pPr>
      <w:r>
        <w:rPr>
          <w:color w:val="231F20"/>
          <w:spacing w:val="5"/>
          <w:sz w:val="24"/>
        </w:rPr>
        <w:t>讨论某一生态系统中生产者和消费者通过食物链和食物网</w:t>
      </w:r>
      <w:r>
        <w:rPr>
          <w:color w:val="231F20"/>
          <w:sz w:val="24"/>
        </w:rPr>
        <w:t>联系在一起形成复杂的营养结构</w:t>
      </w:r>
    </w:p>
    <w:p>
      <w:pPr>
        <w:pStyle w:val="ListParagraph"/>
        <w:numPr>
          <w:ilvl w:val="2"/>
          <w:numId w:val="28"/>
        </w:numPr>
        <w:tabs>
          <w:tab w:val="left" w:pos="1285"/>
        </w:tabs>
        <w:spacing w:before="0" w:after="0" w:line="328" w:lineRule="auto"/>
        <w:ind w:left="1319" w:right="406" w:hanging="640"/>
        <w:jc w:val="both"/>
        <w:rPr>
          <w:sz w:val="24"/>
        </w:rPr>
      </w:pPr>
      <w:r>
        <w:rPr>
          <w:color w:val="231F20"/>
          <w:spacing w:val="5"/>
          <w:sz w:val="24"/>
        </w:rPr>
        <w:t>分析生态系统中的物质在生物群落与无机环境之间不断循</w:t>
      </w:r>
      <w:r>
        <w:rPr>
          <w:color w:val="231F20"/>
          <w:sz w:val="24"/>
        </w:rPr>
        <w:t>环、能量在生物群落中单向流动并逐级递减的规律</w:t>
      </w:r>
    </w:p>
    <w:p>
      <w:pPr>
        <w:pStyle w:val="ListParagraph"/>
        <w:numPr>
          <w:ilvl w:val="2"/>
          <w:numId w:val="28"/>
        </w:numPr>
        <w:tabs>
          <w:tab w:val="left" w:pos="1285"/>
        </w:tabs>
        <w:spacing w:before="0" w:after="0" w:line="328" w:lineRule="auto"/>
        <w:ind w:left="1318" w:right="406" w:hanging="640"/>
        <w:jc w:val="both"/>
        <w:rPr>
          <w:sz w:val="24"/>
        </w:rPr>
      </w:pPr>
      <w:r>
        <w:rPr>
          <w:color w:val="231F20"/>
          <w:spacing w:val="4"/>
          <w:sz w:val="24"/>
        </w:rPr>
        <w:t>举例说明利用物质循环和能量流动规律，人们能够更加科</w:t>
      </w:r>
      <w:r>
        <w:rPr>
          <w:color w:val="231F20"/>
          <w:sz w:val="24"/>
        </w:rPr>
        <w:t>学、有效地利用生态系统中的资源</w:t>
      </w:r>
    </w:p>
    <w:p>
      <w:pPr>
        <w:spacing w:after="0" w:line="328" w:lineRule="auto"/>
        <w:jc w:val="both"/>
        <w:rPr>
          <w:sz w:val="24"/>
        </w:rPr>
        <w:sectPr>
          <w:pgSz w:w="10780" w:h="15090"/>
          <w:pgMar w:top="1260" w:right="1460" w:bottom="1400" w:left="1480" w:header="989" w:footer="1217"/>
          <w:cols w:space="708"/>
        </w:sectPr>
      </w:pPr>
    </w:p>
    <w:p>
      <w:pPr>
        <w:pStyle w:val="BodyText"/>
        <w:spacing w:before="2"/>
        <w:rPr>
          <w:sz w:val="29"/>
        </w:rPr>
      </w:pPr>
    </w:p>
    <w:p>
      <w:pPr>
        <w:pStyle w:val="ListParagraph"/>
        <w:numPr>
          <w:ilvl w:val="2"/>
          <w:numId w:val="28"/>
        </w:numPr>
        <w:tabs>
          <w:tab w:val="left" w:pos="1462"/>
        </w:tabs>
        <w:spacing w:before="75" w:after="0" w:line="328" w:lineRule="auto"/>
        <w:ind w:left="1490" w:right="119" w:hanging="641"/>
        <w:jc w:val="both"/>
        <w:rPr>
          <w:sz w:val="24"/>
        </w:rPr>
      </w:pPr>
      <w:r>
        <w:rPr>
          <w:color w:val="231F20"/>
          <w:spacing w:val="8"/>
          <w:sz w:val="24"/>
        </w:rPr>
        <w:t>解释生态金字塔表征了食物网各营养级之间在个体数量、生物量和能量方面的关系</w:t>
      </w:r>
    </w:p>
    <w:p>
      <w:pPr>
        <w:pStyle w:val="ListParagraph"/>
        <w:numPr>
          <w:ilvl w:val="2"/>
          <w:numId w:val="28"/>
        </w:numPr>
        <w:tabs>
          <w:tab w:val="left" w:pos="1451"/>
        </w:tabs>
        <w:spacing w:before="0" w:after="0" w:line="305" w:lineRule="exact"/>
        <w:ind w:left="1450" w:right="0" w:hanging="601"/>
        <w:jc w:val="both"/>
        <w:rPr>
          <w:sz w:val="24"/>
        </w:rPr>
      </w:pPr>
      <w:r>
        <w:rPr>
          <w:color w:val="231F20"/>
          <w:sz w:val="24"/>
        </w:rPr>
        <w:t>阐明某些有害物质会通过食物链不断地富集的现象</w:t>
      </w:r>
    </w:p>
    <w:p>
      <w:pPr>
        <w:pStyle w:val="ListParagraph"/>
        <w:numPr>
          <w:ilvl w:val="2"/>
          <w:numId w:val="28"/>
        </w:numPr>
        <w:tabs>
          <w:tab w:val="left" w:pos="1457"/>
        </w:tabs>
        <w:spacing w:before="113" w:after="0" w:line="328" w:lineRule="auto"/>
        <w:ind w:left="1490" w:right="234" w:hanging="640"/>
        <w:jc w:val="both"/>
        <w:rPr>
          <w:sz w:val="24"/>
        </w:rPr>
      </w:pPr>
      <w:r>
        <w:rPr>
          <w:color w:val="231F20"/>
          <w:spacing w:val="4"/>
          <w:sz w:val="24"/>
        </w:rPr>
        <w:t>举例说出生态系统中物理、化学和行为信息的传递对生命</w:t>
      </w:r>
      <w:r>
        <w:rPr>
          <w:color w:val="231F20"/>
          <w:spacing w:val="3"/>
          <w:sz w:val="24"/>
        </w:rPr>
        <w:t>活动的正常进行、生物种群的繁衍和种间关系的调节起着</w:t>
      </w:r>
      <w:r>
        <w:rPr>
          <w:color w:val="231F20"/>
          <w:sz w:val="24"/>
        </w:rPr>
        <w:t>重要作用</w:t>
      </w:r>
    </w:p>
    <w:p>
      <w:pPr>
        <w:pStyle w:val="ListParagraph"/>
        <w:numPr>
          <w:ilvl w:val="2"/>
          <w:numId w:val="28"/>
        </w:numPr>
        <w:tabs>
          <w:tab w:val="left" w:pos="1451"/>
        </w:tabs>
        <w:spacing w:before="0" w:after="0" w:line="304" w:lineRule="exact"/>
        <w:ind w:left="1450" w:right="0" w:hanging="601"/>
        <w:jc w:val="both"/>
        <w:rPr>
          <w:sz w:val="24"/>
        </w:rPr>
      </w:pPr>
      <w:r>
        <w:rPr>
          <w:color w:val="231F20"/>
          <w:sz w:val="24"/>
        </w:rPr>
        <w:t>分析特定生态系统的生物与非生物因素决定其营养结构</w:t>
      </w:r>
    </w:p>
    <w:p>
      <w:pPr>
        <w:pStyle w:val="ListParagraph"/>
        <w:numPr>
          <w:ilvl w:val="1"/>
          <w:numId w:val="28"/>
        </w:numPr>
        <w:tabs>
          <w:tab w:val="left" w:pos="813"/>
        </w:tabs>
        <w:spacing w:before="112" w:after="0" w:line="328" w:lineRule="auto"/>
        <w:ind w:left="830" w:right="238" w:hanging="440"/>
        <w:jc w:val="both"/>
        <w:rPr>
          <w:sz w:val="24"/>
        </w:rPr>
      </w:pPr>
      <w:r>
        <w:rPr>
          <w:color w:val="231F20"/>
          <w:spacing w:val="-1"/>
          <w:sz w:val="24"/>
        </w:rPr>
        <w:t>生态系统通过自我调节作用抵御和消除一定限度的外来干扰，保</w:t>
      </w:r>
      <w:r>
        <w:rPr>
          <w:color w:val="231F20"/>
          <w:sz w:val="24"/>
        </w:rPr>
        <w:t>持或恢复自身结构和功能的相对稳定</w:t>
      </w:r>
    </w:p>
    <w:p>
      <w:pPr>
        <w:pStyle w:val="ListParagraph"/>
        <w:numPr>
          <w:ilvl w:val="2"/>
          <w:numId w:val="28"/>
        </w:numPr>
        <w:tabs>
          <w:tab w:val="left" w:pos="1462"/>
        </w:tabs>
        <w:spacing w:before="0" w:after="0" w:line="328" w:lineRule="auto"/>
        <w:ind w:left="1490" w:right="120" w:hanging="641"/>
        <w:jc w:val="left"/>
        <w:rPr>
          <w:sz w:val="24"/>
        </w:rPr>
      </w:pPr>
      <w:r>
        <w:rPr>
          <w:color w:val="231F20"/>
          <w:spacing w:val="8"/>
          <w:sz w:val="24"/>
        </w:rPr>
        <w:t>解释生态系统具有保持或恢复自身结构和功能相对稳定， 并维持动态平衡的能力</w:t>
      </w:r>
    </w:p>
    <w:p>
      <w:pPr>
        <w:pStyle w:val="ListParagraph"/>
        <w:numPr>
          <w:ilvl w:val="2"/>
          <w:numId w:val="28"/>
        </w:numPr>
        <w:tabs>
          <w:tab w:val="left" w:pos="1452"/>
        </w:tabs>
        <w:spacing w:before="0" w:after="0" w:line="328" w:lineRule="auto"/>
        <w:ind w:left="1490" w:right="121" w:hanging="640"/>
        <w:jc w:val="left"/>
        <w:rPr>
          <w:sz w:val="24"/>
        </w:rPr>
      </w:pPr>
      <w:r>
        <w:rPr>
          <w:color w:val="231F20"/>
          <w:sz w:val="24"/>
        </w:rPr>
        <w:t>举例说明生态系统的稳定性会受到自然或人为因素的影响， 如气候变化、自然事件、人类活动或外来物种入侵等</w:t>
      </w:r>
    </w:p>
    <w:p>
      <w:pPr>
        <w:pStyle w:val="ListParagraph"/>
        <w:numPr>
          <w:ilvl w:val="2"/>
          <w:numId w:val="28"/>
        </w:numPr>
        <w:tabs>
          <w:tab w:val="left" w:pos="1456"/>
        </w:tabs>
        <w:spacing w:before="0" w:after="0" w:line="328" w:lineRule="auto"/>
        <w:ind w:left="1489" w:right="235" w:hanging="640"/>
        <w:jc w:val="left"/>
        <w:rPr>
          <w:sz w:val="24"/>
        </w:rPr>
      </w:pPr>
      <w:r>
        <w:rPr>
          <w:color w:val="231F20"/>
          <w:spacing w:val="4"/>
          <w:sz w:val="24"/>
        </w:rPr>
        <w:t>阐明生态系统在受到一定限度的外来干扰时，能够通过自</w:t>
      </w:r>
      <w:r>
        <w:rPr>
          <w:color w:val="231F20"/>
          <w:sz w:val="24"/>
        </w:rPr>
        <w:t>我调节维持稳定</w:t>
      </w:r>
    </w:p>
    <w:p>
      <w:pPr>
        <w:pStyle w:val="ListParagraph"/>
        <w:numPr>
          <w:ilvl w:val="1"/>
          <w:numId w:val="28"/>
        </w:numPr>
        <w:tabs>
          <w:tab w:val="left" w:pos="813"/>
        </w:tabs>
        <w:spacing w:before="0" w:after="0" w:line="328" w:lineRule="auto"/>
        <w:ind w:left="829" w:right="239" w:hanging="440"/>
        <w:jc w:val="left"/>
        <w:rPr>
          <w:sz w:val="24"/>
        </w:rPr>
      </w:pPr>
      <w:r>
        <w:rPr>
          <w:color w:val="231F20"/>
          <w:spacing w:val="-1"/>
          <w:sz w:val="24"/>
        </w:rPr>
        <w:t>人类活动对生态系统的动态平衡有着深远的影响，依据生态学原</w:t>
      </w:r>
      <w:r>
        <w:rPr>
          <w:color w:val="231F20"/>
          <w:sz w:val="24"/>
        </w:rPr>
        <w:t>理保护环境是人类生存和可持续发展的必要条件</w:t>
      </w:r>
    </w:p>
    <w:p>
      <w:pPr>
        <w:pStyle w:val="ListParagraph"/>
        <w:numPr>
          <w:ilvl w:val="2"/>
          <w:numId w:val="28"/>
        </w:numPr>
        <w:tabs>
          <w:tab w:val="left" w:pos="1450"/>
        </w:tabs>
        <w:spacing w:before="0" w:after="0" w:line="305" w:lineRule="exact"/>
        <w:ind w:left="1449" w:right="0" w:hanging="601"/>
        <w:jc w:val="both"/>
        <w:rPr>
          <w:sz w:val="24"/>
        </w:rPr>
      </w:pPr>
      <w:r>
        <w:rPr>
          <w:color w:val="231F20"/>
          <w:sz w:val="24"/>
        </w:rPr>
        <w:t>探讨人口增长会对环境造成压力</w:t>
      </w:r>
    </w:p>
    <w:p>
      <w:pPr>
        <w:pStyle w:val="ListParagraph"/>
        <w:numPr>
          <w:ilvl w:val="2"/>
          <w:numId w:val="28"/>
        </w:numPr>
        <w:tabs>
          <w:tab w:val="left" w:pos="1457"/>
        </w:tabs>
        <w:spacing w:before="103" w:after="0" w:line="328" w:lineRule="auto"/>
        <w:ind w:left="1489" w:right="231" w:hanging="641"/>
        <w:jc w:val="both"/>
        <w:rPr>
          <w:sz w:val="24"/>
        </w:rPr>
      </w:pPr>
      <w:r>
        <w:rPr>
          <w:color w:val="231F20"/>
          <w:spacing w:val="2"/>
          <w:sz w:val="24"/>
        </w:rPr>
        <w:t>关注全球气候变化、水资源短缺、臭氧层破坏、酸雨、荒</w:t>
      </w:r>
      <w:r>
        <w:rPr>
          <w:color w:val="231F20"/>
          <w:spacing w:val="4"/>
          <w:sz w:val="24"/>
        </w:rPr>
        <w:t>漠化和环境污染等全球性环境问题对生物圈的稳态造成威</w:t>
      </w:r>
      <w:r>
        <w:rPr>
          <w:color w:val="231F20"/>
          <w:sz w:val="24"/>
        </w:rPr>
        <w:t>胁，同时也对人类的生存和可持续发展造成影响</w:t>
      </w:r>
    </w:p>
    <w:p>
      <w:pPr>
        <w:pStyle w:val="ListParagraph"/>
        <w:numPr>
          <w:ilvl w:val="2"/>
          <w:numId w:val="28"/>
        </w:numPr>
        <w:tabs>
          <w:tab w:val="left" w:pos="1456"/>
        </w:tabs>
        <w:spacing w:before="0" w:after="0" w:line="328" w:lineRule="auto"/>
        <w:ind w:left="1489" w:right="236" w:hanging="640"/>
        <w:jc w:val="both"/>
        <w:rPr>
          <w:sz w:val="24"/>
        </w:rPr>
      </w:pPr>
      <w:r>
        <w:rPr>
          <w:color w:val="231F20"/>
          <w:spacing w:val="5"/>
          <w:sz w:val="24"/>
        </w:rPr>
        <w:t>概述生物多样性对维持生态系统的稳定性以及人类生存和</w:t>
      </w:r>
      <w:r>
        <w:rPr>
          <w:color w:val="231F20"/>
          <w:spacing w:val="3"/>
          <w:sz w:val="24"/>
        </w:rPr>
        <w:t>发展的重要意义，并尝试提出人与环境和谐相处的合理化</w:t>
      </w:r>
      <w:r>
        <w:rPr>
          <w:color w:val="231F20"/>
          <w:sz w:val="24"/>
        </w:rPr>
        <w:t>建议</w:t>
      </w:r>
    </w:p>
    <w:p>
      <w:pPr>
        <w:pStyle w:val="ListParagraph"/>
        <w:numPr>
          <w:ilvl w:val="2"/>
          <w:numId w:val="28"/>
        </w:numPr>
        <w:tabs>
          <w:tab w:val="left" w:pos="1452"/>
        </w:tabs>
        <w:spacing w:before="0" w:after="0" w:line="328" w:lineRule="auto"/>
        <w:ind w:left="1489" w:right="243" w:hanging="641"/>
        <w:jc w:val="both"/>
        <w:rPr>
          <w:sz w:val="24"/>
        </w:rPr>
      </w:pPr>
      <w:r>
        <w:rPr>
          <w:color w:val="231F20"/>
          <w:spacing w:val="-7"/>
          <w:sz w:val="24"/>
        </w:rPr>
        <w:t>举例说明根据生态学原理、采用系统工程的方法和技术，达</w:t>
      </w:r>
      <w:r>
        <w:rPr>
          <w:color w:val="231F20"/>
          <w:spacing w:val="-6"/>
          <w:sz w:val="24"/>
        </w:rPr>
        <w:t>到资源多层次和循环利用的目的，使特定区域中的人和自然环境均受益</w:t>
      </w:r>
    </w:p>
    <w:p>
      <w:pPr>
        <w:pStyle w:val="ListParagraph"/>
        <w:numPr>
          <w:ilvl w:val="2"/>
          <w:numId w:val="28"/>
        </w:numPr>
        <w:tabs>
          <w:tab w:val="left" w:pos="1450"/>
        </w:tabs>
        <w:spacing w:before="0" w:after="0" w:line="304" w:lineRule="exact"/>
        <w:ind w:left="1449" w:right="0" w:hanging="601"/>
        <w:jc w:val="both"/>
        <w:rPr>
          <w:sz w:val="24"/>
        </w:rPr>
      </w:pPr>
      <w:r>
        <w:rPr>
          <w:color w:val="231F20"/>
          <w:sz w:val="24"/>
        </w:rPr>
        <w:t>形成“环境保护需要从我做起”的意识</w:t>
      </w:r>
    </w:p>
    <w:p>
      <w:pPr>
        <w:spacing w:after="0" w:line="304" w:lineRule="exact"/>
        <w:jc w:val="both"/>
        <w:rPr>
          <w:sz w:val="24"/>
        </w:rPr>
        <w:sectPr>
          <w:pgSz w:w="10780" w:h="15090"/>
          <w:pgMar w:top="1260" w:right="1460" w:bottom="1400" w:left="1480" w:header="1029" w:footer="1217"/>
          <w:cols w:space="708"/>
        </w:sectPr>
      </w:pPr>
    </w:p>
    <w:p>
      <w:pPr>
        <w:pStyle w:val="BodyText"/>
        <w:rPr>
          <w:sz w:val="20"/>
        </w:rPr>
      </w:pPr>
    </w:p>
    <w:p>
      <w:pPr>
        <w:pStyle w:val="BodyText"/>
        <w:spacing w:before="204"/>
        <w:ind w:left="580"/>
      </w:pPr>
      <w:r>
        <w:rPr>
          <w:color w:val="231F20"/>
        </w:rPr>
        <w:t>【教学提示】</w:t>
      </w:r>
    </w:p>
    <w:p>
      <w:pPr>
        <w:pStyle w:val="BodyText"/>
        <w:spacing w:before="111" w:line="328" w:lineRule="auto"/>
        <w:ind w:left="220" w:right="290" w:firstLine="480"/>
      </w:pPr>
      <w:r>
        <w:rPr>
          <w:color w:val="231F20"/>
        </w:rPr>
        <w:t>本模块中所涉及的生态、环境问题与实际生活联系密切。教学中，教师应通过引导学生开展有关的实验、调查和搜集资料等活动， 特别是了解当地生态系统、保护当地环境的活动，提高环境保护意识。</w:t>
      </w:r>
    </w:p>
    <w:p>
      <w:pPr>
        <w:pStyle w:val="BodyText"/>
        <w:spacing w:line="328" w:lineRule="auto"/>
        <w:ind w:left="220" w:right="406" w:firstLine="480"/>
        <w:jc w:val="both"/>
      </w:pPr>
      <w:r>
        <w:rPr>
          <w:color w:val="231F20"/>
          <w:spacing w:val="1"/>
        </w:rPr>
        <w:t>为帮助学生达成对选择性必修课程概念</w:t>
      </w:r>
      <w:r>
        <w:rPr>
          <w:rFonts w:ascii="Times New Roman" w:eastAsia="Times New Roman"/>
          <w:color w:val="231F20"/>
        </w:rPr>
        <w:t xml:space="preserve">2 </w:t>
      </w:r>
      <w:r>
        <w:rPr>
          <w:color w:val="231F20"/>
        </w:rPr>
        <w:t>的理解，促进学生生物</w:t>
      </w:r>
      <w:r>
        <w:rPr>
          <w:color w:val="231F20"/>
          <w:spacing w:val="-7"/>
        </w:rPr>
        <w:t>学学科核心素养的提升，应开展下列实验：</w:t>
      </w:r>
      <w:r>
        <w:rPr>
          <w:color w:val="231F20"/>
        </w:rPr>
        <w:t>（</w:t>
      </w:r>
      <w:r>
        <w:rPr>
          <w:rFonts w:ascii="Times New Roman" w:eastAsia="Times New Roman"/>
          <w:color w:val="231F20"/>
        </w:rPr>
        <w:t>1</w:t>
      </w:r>
      <w:r>
        <w:rPr>
          <w:color w:val="231F20"/>
        </w:rPr>
        <w:t>）</w:t>
      </w:r>
      <w:r>
        <w:rPr>
          <w:color w:val="231F20"/>
          <w:spacing w:val="-2"/>
        </w:rPr>
        <w:t>探究培养液中某种酵</w:t>
      </w:r>
      <w:r>
        <w:rPr>
          <w:color w:val="231F20"/>
          <w:spacing w:val="-11"/>
        </w:rPr>
        <w:t>母种群数量的动态变化；</w:t>
      </w:r>
      <w:r>
        <w:rPr>
          <w:color w:val="231F20"/>
        </w:rPr>
        <w:t>（</w:t>
      </w:r>
      <w:r>
        <w:rPr>
          <w:rFonts w:ascii="Times New Roman" w:eastAsia="Times New Roman"/>
          <w:color w:val="231F20"/>
        </w:rPr>
        <w:t>2</w:t>
      </w:r>
      <w:r>
        <w:rPr>
          <w:color w:val="231F20"/>
        </w:rPr>
        <w:t>）</w:t>
      </w:r>
      <w:r>
        <w:rPr>
          <w:color w:val="231F20"/>
          <w:spacing w:val="-9"/>
        </w:rPr>
        <w:t>研究土壤中动物类群的丰富度；</w:t>
      </w:r>
      <w:r>
        <w:rPr>
          <w:color w:val="231F20"/>
        </w:rPr>
        <w:t>（</w:t>
      </w:r>
      <w:r>
        <w:rPr>
          <w:rFonts w:ascii="Times New Roman" w:eastAsia="Times New Roman"/>
          <w:color w:val="231F20"/>
        </w:rPr>
        <w:t>3</w:t>
      </w:r>
      <w:r>
        <w:rPr>
          <w:color w:val="231F20"/>
        </w:rPr>
        <w:t>）</w:t>
      </w:r>
      <w:r>
        <w:rPr>
          <w:color w:val="231F20"/>
          <w:spacing w:val="-15"/>
        </w:rPr>
        <w:t>设</w:t>
      </w:r>
      <w:r>
        <w:rPr>
          <w:color w:val="231F20"/>
          <w:spacing w:val="-1"/>
        </w:rPr>
        <w:t>计并制作生态瓶，观察和比较不同生态瓶中生态系统的稳定性，撰写</w:t>
      </w:r>
      <w:r>
        <w:rPr>
          <w:color w:val="231F20"/>
        </w:rPr>
        <w:t>报告分析其原因。</w:t>
      </w:r>
    </w:p>
    <w:p>
      <w:pPr>
        <w:pStyle w:val="BodyText"/>
        <w:spacing w:line="328" w:lineRule="auto"/>
        <w:ind w:left="220" w:right="287" w:firstLine="480"/>
        <w:jc w:val="both"/>
      </w:pPr>
      <w:r>
        <w:rPr>
          <w:color w:val="231F20"/>
        </w:rPr>
        <w:t>除上述实验外，还应开展下列活动：（</w:t>
      </w:r>
      <w:r>
        <w:rPr>
          <w:rFonts w:ascii="Times New Roman" w:eastAsia="Times New Roman"/>
          <w:color w:val="231F20"/>
        </w:rPr>
        <w:t>1</w:t>
      </w:r>
      <w:r>
        <w:rPr>
          <w:color w:val="231F20"/>
        </w:rPr>
        <w:t>）尝试分析当地自然群落中某种生物的生态位；（</w:t>
      </w:r>
      <w:r>
        <w:rPr>
          <w:rFonts w:ascii="Times New Roman" w:eastAsia="Times New Roman"/>
          <w:color w:val="231F20"/>
        </w:rPr>
        <w:t>2</w:t>
      </w:r>
      <w:r>
        <w:rPr>
          <w:color w:val="231F20"/>
        </w:rPr>
        <w:t>）调查或探讨一个校园、公园、农田、森林、湿地或池塘生态系统中的能量流动；（</w:t>
      </w:r>
      <w:r>
        <w:rPr>
          <w:rFonts w:ascii="Times New Roman" w:eastAsia="Times New Roman"/>
          <w:color w:val="231F20"/>
        </w:rPr>
        <w:t>3</w:t>
      </w:r>
      <w:r>
        <w:rPr>
          <w:color w:val="231F20"/>
        </w:rPr>
        <w:t>）设计保持和提高某个生态系统稳定性的方案；（</w:t>
      </w:r>
      <w:r>
        <w:rPr>
          <w:rFonts w:ascii="Times New Roman" w:eastAsia="Times New Roman"/>
          <w:color w:val="231F20"/>
        </w:rPr>
        <w:t>4</w:t>
      </w:r>
      <w:r>
        <w:rPr>
          <w:color w:val="231F20"/>
        </w:rPr>
        <w:t>）调查当地环境中存在的主要问题，提出保护建议或行动计划；（</w:t>
      </w:r>
      <w:r>
        <w:rPr>
          <w:rFonts w:ascii="Times New Roman" w:eastAsia="Times New Roman"/>
          <w:color w:val="231F20"/>
        </w:rPr>
        <w:t>5</w:t>
      </w:r>
      <w:r>
        <w:rPr>
          <w:color w:val="231F20"/>
        </w:rPr>
        <w:t>）搜集生物多样性保护的实例，讨论当地生态系统是否已经出现严重的生物多样性下降的趋势及其对人类的影响；</w:t>
      </w:r>
    </w:p>
    <w:p>
      <w:pPr>
        <w:pStyle w:val="ListParagraph"/>
        <w:numPr>
          <w:ilvl w:val="0"/>
          <w:numId w:val="27"/>
        </w:numPr>
        <w:tabs>
          <w:tab w:val="left" w:pos="702"/>
        </w:tabs>
        <w:spacing w:before="0" w:after="0" w:line="328" w:lineRule="auto"/>
        <w:ind w:left="220" w:right="408" w:hanging="120"/>
        <w:jc w:val="left"/>
        <w:rPr>
          <w:sz w:val="24"/>
        </w:rPr>
      </w:pPr>
      <w:r>
        <w:rPr>
          <w:color w:val="231F20"/>
          <w:sz w:val="24"/>
        </w:rPr>
        <w:t>组织学生（或学习小组）</w:t>
      </w:r>
      <w:r>
        <w:rPr>
          <w:color w:val="231F20"/>
          <w:spacing w:val="-1"/>
          <w:sz w:val="24"/>
        </w:rPr>
        <w:t>参观了解人工生态系统的组成及其中蕴</w:t>
      </w:r>
      <w:r>
        <w:rPr>
          <w:color w:val="231F20"/>
          <w:sz w:val="24"/>
        </w:rPr>
        <w:t>含的生态学原理和经济学原理。</w:t>
      </w:r>
    </w:p>
    <w:p>
      <w:pPr>
        <w:pStyle w:val="BodyText"/>
        <w:spacing w:before="3"/>
        <w:rPr>
          <w:sz w:val="31"/>
        </w:rPr>
      </w:pPr>
    </w:p>
    <w:p>
      <w:pPr>
        <w:pStyle w:val="BodyText"/>
        <w:ind w:left="580"/>
      </w:pPr>
      <w:r>
        <w:rPr>
          <w:color w:val="231F20"/>
        </w:rPr>
        <w:t>【学业要求】</w:t>
      </w:r>
    </w:p>
    <w:p>
      <w:pPr>
        <w:pStyle w:val="BodyText"/>
        <w:spacing w:before="112"/>
        <w:ind w:left="700"/>
      </w:pPr>
      <w:r>
        <w:rPr>
          <w:color w:val="231F20"/>
        </w:rPr>
        <w:t>完成本模块学习后，学生应该能够：</w:t>
      </w:r>
    </w:p>
    <w:p>
      <w:pPr>
        <w:pStyle w:val="ListParagraph"/>
        <w:numPr>
          <w:ilvl w:val="1"/>
          <w:numId w:val="27"/>
        </w:numPr>
        <w:tabs>
          <w:tab w:val="left" w:pos="884"/>
        </w:tabs>
        <w:spacing w:before="111" w:after="0" w:line="328" w:lineRule="auto"/>
        <w:ind w:left="220" w:right="288" w:firstLine="480"/>
        <w:jc w:val="left"/>
        <w:rPr>
          <w:sz w:val="24"/>
        </w:rPr>
      </w:pPr>
      <w:r>
        <w:rPr>
          <w:color w:val="231F20"/>
          <w:sz w:val="24"/>
        </w:rPr>
        <w:t>运用数学模型表征种群数量变化的规律，分析和解释影响这一</w:t>
      </w:r>
      <w:r>
        <w:rPr>
          <w:color w:val="231F20"/>
          <w:spacing w:val="2"/>
          <w:sz w:val="24"/>
        </w:rPr>
        <w:t>变化规律的因素，并应用于相关实践活动中</w:t>
      </w:r>
      <w:r>
        <w:rPr>
          <w:color w:val="231F20"/>
          <w:spacing w:val="4"/>
          <w:sz w:val="24"/>
        </w:rPr>
        <w:t>（</w:t>
      </w:r>
      <w:r>
        <w:rPr>
          <w:color w:val="231F20"/>
          <w:spacing w:val="1"/>
          <w:sz w:val="24"/>
        </w:rPr>
        <w:t>生命观念、科学思维、社会责任</w:t>
      </w:r>
      <w:r>
        <w:rPr>
          <w:color w:val="231F20"/>
          <w:spacing w:val="-90"/>
          <w:sz w:val="24"/>
        </w:rPr>
        <w:t>）；</w:t>
      </w:r>
    </w:p>
    <w:p>
      <w:pPr>
        <w:pStyle w:val="ListParagraph"/>
        <w:numPr>
          <w:ilvl w:val="1"/>
          <w:numId w:val="27"/>
        </w:numPr>
        <w:tabs>
          <w:tab w:val="left" w:pos="881"/>
        </w:tabs>
        <w:spacing w:before="0" w:after="0" w:line="305" w:lineRule="exact"/>
        <w:ind w:left="880" w:right="0" w:hanging="181"/>
        <w:jc w:val="both"/>
        <w:rPr>
          <w:sz w:val="24"/>
        </w:rPr>
      </w:pPr>
      <w:r>
        <w:rPr>
          <w:color w:val="231F20"/>
          <w:sz w:val="24"/>
        </w:rPr>
        <w:t>举例说明不同类型群落的结构、特征及演替规律（生命观念</w:t>
      </w:r>
      <w:r>
        <w:rPr>
          <w:color w:val="231F20"/>
          <w:spacing w:val="-90"/>
          <w:sz w:val="24"/>
        </w:rPr>
        <w:t>）；</w:t>
      </w:r>
    </w:p>
    <w:p>
      <w:pPr>
        <w:pStyle w:val="ListParagraph"/>
        <w:numPr>
          <w:ilvl w:val="1"/>
          <w:numId w:val="27"/>
        </w:numPr>
        <w:tabs>
          <w:tab w:val="left" w:pos="884"/>
        </w:tabs>
        <w:spacing w:before="112" w:after="0" w:line="328" w:lineRule="auto"/>
        <w:ind w:left="220" w:right="404" w:firstLine="480"/>
        <w:jc w:val="both"/>
        <w:rPr>
          <w:sz w:val="24"/>
        </w:rPr>
      </w:pPr>
      <w:r>
        <w:rPr>
          <w:color w:val="231F20"/>
          <w:sz w:val="24"/>
        </w:rPr>
        <w:t>使用图示等方式表征和说明生态系统中物质循环、能量流动和</w:t>
      </w:r>
      <w:r>
        <w:rPr>
          <w:color w:val="231F20"/>
          <w:spacing w:val="-1"/>
          <w:sz w:val="24"/>
        </w:rPr>
        <w:t>信息传递的过程和特征，并对相关的生态学实践应用作出合理的分析</w:t>
      </w:r>
      <w:r>
        <w:rPr>
          <w:color w:val="231F20"/>
          <w:sz w:val="24"/>
        </w:rPr>
        <w:t>和判断（生命观念、科学思维、社会责任</w:t>
      </w:r>
      <w:r>
        <w:rPr>
          <w:color w:val="231F20"/>
          <w:spacing w:val="-90"/>
          <w:sz w:val="24"/>
        </w:rPr>
        <w:t>）；</w:t>
      </w:r>
    </w:p>
    <w:p>
      <w:pPr>
        <w:spacing w:after="0" w:line="328" w:lineRule="auto"/>
        <w:jc w:val="both"/>
        <w:rPr>
          <w:sz w:val="24"/>
        </w:rPr>
        <w:sectPr>
          <w:pgSz w:w="10780" w:h="15090"/>
          <w:pgMar w:top="1260" w:right="1460" w:bottom="1400" w:left="1480" w:header="989" w:footer="1217"/>
          <w:cols w:space="708"/>
        </w:sectPr>
      </w:pPr>
    </w:p>
    <w:p>
      <w:pPr>
        <w:pStyle w:val="BodyText"/>
        <w:spacing w:before="10"/>
        <w:rPr>
          <w:sz w:val="29"/>
        </w:rPr>
      </w:pPr>
    </w:p>
    <w:p>
      <w:pPr>
        <w:pStyle w:val="ListParagraph"/>
        <w:numPr>
          <w:ilvl w:val="2"/>
          <w:numId w:val="27"/>
        </w:numPr>
        <w:tabs>
          <w:tab w:val="left" w:pos="1054"/>
        </w:tabs>
        <w:spacing w:before="67" w:after="0" w:line="328" w:lineRule="auto"/>
        <w:ind w:left="390" w:right="119" w:firstLine="480"/>
        <w:jc w:val="left"/>
        <w:rPr>
          <w:sz w:val="24"/>
        </w:rPr>
      </w:pPr>
      <w:r>
        <w:rPr>
          <w:color w:val="231F20"/>
          <w:sz w:val="24"/>
        </w:rPr>
        <w:t>从生态系统具备有限自我调节能力的视角，预测和论证某一因</w:t>
      </w:r>
      <w:r>
        <w:rPr>
          <w:color w:val="231F20"/>
          <w:spacing w:val="-5"/>
          <w:sz w:val="24"/>
        </w:rPr>
        <w:t>素对生态系统的干扰可能引发的多种潜在变化</w:t>
      </w:r>
      <w:r>
        <w:rPr>
          <w:color w:val="231F20"/>
          <w:spacing w:val="-4"/>
          <w:sz w:val="24"/>
        </w:rPr>
        <w:t>（</w:t>
      </w:r>
      <w:r>
        <w:rPr>
          <w:color w:val="231F20"/>
          <w:spacing w:val="-5"/>
          <w:sz w:val="24"/>
        </w:rPr>
        <w:t>生命观念、科学探究、</w:t>
      </w:r>
      <w:r>
        <w:rPr>
          <w:color w:val="231F20"/>
          <w:spacing w:val="-4"/>
          <w:sz w:val="24"/>
        </w:rPr>
        <w:t>社会责任</w:t>
      </w:r>
      <w:r>
        <w:rPr>
          <w:color w:val="231F20"/>
          <w:spacing w:val="-90"/>
          <w:sz w:val="24"/>
        </w:rPr>
        <w:t>）；</w:t>
      </w:r>
    </w:p>
    <w:p>
      <w:pPr>
        <w:pStyle w:val="ListParagraph"/>
        <w:numPr>
          <w:ilvl w:val="2"/>
          <w:numId w:val="27"/>
        </w:numPr>
        <w:tabs>
          <w:tab w:val="left" w:pos="1054"/>
        </w:tabs>
        <w:spacing w:before="0" w:after="0" w:line="328" w:lineRule="auto"/>
        <w:ind w:left="390" w:right="238" w:firstLine="479"/>
        <w:jc w:val="both"/>
        <w:rPr>
          <w:sz w:val="24"/>
        </w:rPr>
      </w:pPr>
      <w:r>
        <w:rPr>
          <w:color w:val="231F20"/>
          <w:spacing w:val="-1"/>
          <w:sz w:val="24"/>
        </w:rPr>
        <w:t>分析或探讨人类活动对自然生态系统动态平衡的影响及人工生态系统带来的经济、生态和社会效益，并尝试提出人与环境和谐共处</w:t>
      </w:r>
      <w:r>
        <w:rPr>
          <w:color w:val="231F20"/>
          <w:sz w:val="24"/>
        </w:rPr>
        <w:t>的合理化建议（生命观念、科学探究、社会责任</w:t>
      </w:r>
      <w:r>
        <w:rPr>
          <w:color w:val="231F20"/>
          <w:spacing w:val="-90"/>
          <w:sz w:val="24"/>
        </w:rPr>
        <w:t>）。</w:t>
      </w:r>
    </w:p>
    <w:p>
      <w:pPr>
        <w:pStyle w:val="BodyText"/>
        <w:spacing w:before="4"/>
        <w:rPr>
          <w:sz w:val="19"/>
        </w:rPr>
      </w:pPr>
      <w:r>
        <w:pict>
          <v:group id="_x0000_s1073" style="width:359.5pt;height:19.05pt;margin-top:14.36pt;margin-left:94.04pt;mso-position-horizontal-relative:page;mso-wrap-distance-left:0;mso-wrap-distance-right:0;position:absolute;z-index:-251633664" coordorigin="1881,287" coordsize="7190,381">
            <v:line id="_x0000_s1074" style="position:absolute" from="1941,477" to="9041,477" stroked="t" strokecolor="#231f20" strokeweight="1pt">
              <v:stroke dashstyle="dot"/>
            </v:line>
            <v:line id="_x0000_s1075" style="position:absolute" from="1881,477" to="1881,477" stroked="t" strokecolor="#231f20" strokeweight="1pt">
              <v:stroke dashstyle="solid"/>
            </v:line>
            <v:line id="_x0000_s1076" style="position:absolute" from="9071,477" to="9071,477" stroked="t" strokecolor="#231f20" strokeweight="1pt">
              <v:stroke dashstyle="solid"/>
            </v:line>
            <v:shape id="_x0000_s1077" style="width:3000;height:376;left:2372;position:absolute;top:289" coordorigin="2372,290" coordsize="3000,376" path="m5164,290l2580,290,2460,292,2398,310,2376,357,2372,450,2372,505,2376,597,2398,645,2460,662,2580,665,5164,665,5284,662,5346,645,5369,597,5372,505,5372,450,5369,357,5346,310,5284,292,5164,290xe" filled="t" fillcolor="#e6e7e8" stroked="f">
              <v:fill type="solid"/>
              <v:path arrowok="t"/>
            </v:shape>
            <v:shape id="_x0000_s1078" style="width:3000;height:376;left:2372;position:absolute;top:289" coordorigin="2372,290" coordsize="3000,376" path="m2580,290l2460,292,2398,310,2376,357,2372,450,2372,505,2376,597,2398,645,2460,662,2580,665,5164,665,5284,662,5346,645,5369,597,5372,505,5372,450,5369,357,5346,310,5284,292,5164,290,2580,290xe" filled="f" stroked="t" strokecolor="#231f20" strokeweight="0.25pt">
              <v:stroke dashstyle="solid"/>
              <v:path arrowok="t"/>
            </v:shape>
            <v:shape id="_x0000_s1079" type="#_x0000_t202" style="width:7190;height:381;left:1880;position:absolute;top:287" filled="f" stroked="f">
              <v:textbox inset="0,0,0,0">
                <w:txbxContent>
                  <w:p>
                    <w:pPr>
                      <w:tabs>
                        <w:tab w:val="left" w:pos="1555"/>
                      </w:tabs>
                      <w:spacing w:before="13"/>
                      <w:ind w:left="680" w:right="0" w:firstLine="0"/>
                      <w:jc w:val="left"/>
                      <w:rPr>
                        <w:sz w:val="26"/>
                      </w:rPr>
                    </w:pPr>
                    <w:r>
                      <w:rPr>
                        <w:color w:val="231F20"/>
                        <w:spacing w:val="-16"/>
                        <w:sz w:val="26"/>
                      </w:rPr>
                      <w:t>模</w:t>
                    </w:r>
                    <w:r>
                      <w:rPr>
                        <w:color w:val="231F20"/>
                        <w:spacing w:val="12"/>
                        <w:sz w:val="26"/>
                      </w:rPr>
                      <w:t>块</w:t>
                    </w:r>
                    <w:r>
                      <w:rPr>
                        <w:rFonts w:ascii="Times New Roman" w:eastAsia="Times New Roman"/>
                        <w:color w:val="231F20"/>
                        <w:sz w:val="26"/>
                      </w:rPr>
                      <w:t>3</w:t>
                      <w:tab/>
                    </w:r>
                    <w:r>
                      <w:rPr>
                        <w:color w:val="231F20"/>
                        <w:spacing w:val="-16"/>
                        <w:sz w:val="26"/>
                      </w:rPr>
                      <w:t>生物技术与工程</w:t>
                    </w:r>
                  </w:p>
                </w:txbxContent>
              </v:textbox>
            </v:shape>
            <w10:wrap type="topAndBottom"/>
          </v:group>
        </w:pict>
      </w:r>
    </w:p>
    <w:p>
      <w:pPr>
        <w:pStyle w:val="BodyText"/>
        <w:spacing w:before="6"/>
        <w:rPr>
          <w:sz w:val="5"/>
        </w:rPr>
      </w:pPr>
    </w:p>
    <w:p>
      <w:pPr>
        <w:pStyle w:val="Heading4"/>
        <w:spacing w:before="64" w:line="302" w:lineRule="auto"/>
        <w:ind w:right="579"/>
      </w:pPr>
      <w:r>
        <w:rPr>
          <w:color w:val="231F20"/>
        </w:rPr>
        <w:t>本模块的内容包括发酵工程、细胞工程、基因工程和生物技术安全与伦理等。生物学知识是生物工程的设计基础，而生物工程则应在法律和伦理的约束下，以人类需求为目标进行产品的开发，进而推动生物学的不断进步，提高人类生活质量。</w:t>
      </w:r>
    </w:p>
    <w:p>
      <w:pPr>
        <w:spacing w:before="1" w:line="302" w:lineRule="auto"/>
        <w:ind w:left="731" w:right="573" w:firstLine="479"/>
        <w:jc w:val="both"/>
        <w:rPr>
          <w:sz w:val="26"/>
        </w:rPr>
      </w:pPr>
      <w:r>
        <w:rPr>
          <w:color w:val="231F20"/>
          <w:sz w:val="26"/>
        </w:rPr>
        <w:t>本模块包括</w:t>
      </w:r>
      <w:r>
        <w:rPr>
          <w:rFonts w:ascii="Times New Roman" w:eastAsia="Times New Roman"/>
          <w:color w:val="231F20"/>
          <w:sz w:val="26"/>
        </w:rPr>
        <w:t xml:space="preserve">4 </w:t>
      </w:r>
      <w:r>
        <w:rPr>
          <w:color w:val="231F20"/>
          <w:sz w:val="26"/>
        </w:rPr>
        <w:t>个较为具体的概念，这些概念既是对必修内容的扩展和应用，又是对生物技术和工程的认识和理解。实践的环节是帮助学生达成教学目标的关键。这里所涉及的实验有的使学生了解基本原理或获得基本知识，有的偏重于实际应用。教师要充分利用学校的现有条件，为学生提供实践的机会。</w:t>
      </w:r>
    </w:p>
    <w:p>
      <w:pPr>
        <w:pStyle w:val="BodyText"/>
        <w:spacing w:before="9"/>
        <w:rPr>
          <w:sz w:val="9"/>
        </w:rPr>
      </w:pPr>
      <w:r>
        <w:pict>
          <v:group id="_x0000_s1080" style="width:359.5pt;height:1pt;margin-top:8.2pt;margin-left:94.04pt;mso-position-horizontal-relative:page;mso-wrap-distance-left:0;mso-wrap-distance-right:0;position:absolute;z-index:-251632640" coordorigin="1881,164" coordsize="7190,20">
            <v:line id="_x0000_s1081" style="position:absolute" from="1941,174" to="9041,174" stroked="t" strokecolor="#231f20" strokeweight="1pt">
              <v:stroke dashstyle="dot"/>
            </v:line>
            <v:line id="_x0000_s1082" style="position:absolute" from="1881,174" to="1881,174" stroked="t" strokecolor="#231f20" strokeweight="1pt">
              <v:stroke dashstyle="solid"/>
            </v:line>
            <v:line id="_x0000_s1083" style="position:absolute" from="9071,174" to="9071,174" stroked="t" strokecolor="#231f20" strokeweight="1pt">
              <v:stroke dashstyle="solid"/>
            </v:line>
            <w10:wrap type="topAndBottom"/>
          </v:group>
        </w:pict>
      </w:r>
    </w:p>
    <w:p>
      <w:pPr>
        <w:pStyle w:val="BodyText"/>
        <w:rPr>
          <w:sz w:val="20"/>
        </w:rPr>
      </w:pPr>
    </w:p>
    <w:p>
      <w:pPr>
        <w:pStyle w:val="BodyText"/>
        <w:spacing w:before="6"/>
        <w:rPr>
          <w:sz w:val="23"/>
        </w:rPr>
      </w:pPr>
    </w:p>
    <w:p>
      <w:pPr>
        <w:pStyle w:val="BodyText"/>
        <w:spacing w:before="75"/>
        <w:ind w:left="750"/>
      </w:pPr>
      <w:r>
        <w:rPr>
          <w:color w:val="231F20"/>
        </w:rPr>
        <w:t>【内容要求】</w:t>
      </w:r>
    </w:p>
    <w:p>
      <w:pPr>
        <w:pStyle w:val="BodyText"/>
        <w:tabs>
          <w:tab w:val="left" w:pos="1274"/>
        </w:tabs>
        <w:spacing w:before="139"/>
        <w:ind w:left="390"/>
      </w:pPr>
      <w:r>
        <w:rPr>
          <w:color w:val="231F20"/>
        </w:rPr>
        <w:t>概</w:t>
      </w:r>
      <w:r>
        <w:rPr>
          <w:color w:val="231F20"/>
          <w:spacing w:val="30"/>
        </w:rPr>
        <w:t>念</w:t>
      </w:r>
      <w:r>
        <w:rPr>
          <w:rFonts w:ascii="Arial" w:eastAsia="Arial"/>
          <w:color w:val="231F20"/>
        </w:rPr>
        <w:t>3</w:t>
        <w:tab/>
      </w:r>
      <w:r>
        <w:rPr>
          <w:color w:val="231F20"/>
          <w:spacing w:val="-12"/>
        </w:rPr>
        <w:t>发酵工程利用微生物的特定功能规模化生产对人类有用的产品</w:t>
      </w:r>
    </w:p>
    <w:p>
      <w:pPr>
        <w:pStyle w:val="ListParagraph"/>
        <w:numPr>
          <w:ilvl w:val="1"/>
          <w:numId w:val="26"/>
        </w:numPr>
        <w:tabs>
          <w:tab w:val="left" w:pos="811"/>
        </w:tabs>
        <w:spacing w:before="142" w:after="0" w:line="240" w:lineRule="auto"/>
        <w:ind w:left="810" w:right="0" w:hanging="421"/>
        <w:jc w:val="left"/>
        <w:rPr>
          <w:sz w:val="24"/>
        </w:rPr>
      </w:pPr>
      <w:r>
        <w:rPr>
          <w:color w:val="231F20"/>
          <w:sz w:val="24"/>
        </w:rPr>
        <w:t>获得纯净的微生物培养物是发酵工程的基础</w:t>
      </w:r>
    </w:p>
    <w:p>
      <w:pPr>
        <w:pStyle w:val="ListParagraph"/>
        <w:numPr>
          <w:ilvl w:val="2"/>
          <w:numId w:val="26"/>
        </w:numPr>
        <w:tabs>
          <w:tab w:val="left" w:pos="1451"/>
        </w:tabs>
        <w:spacing w:before="112" w:after="0" w:line="240" w:lineRule="auto"/>
        <w:ind w:left="1450" w:right="0" w:hanging="601"/>
        <w:jc w:val="left"/>
        <w:rPr>
          <w:sz w:val="24"/>
        </w:rPr>
      </w:pPr>
      <w:r>
        <w:rPr>
          <w:color w:val="231F20"/>
          <w:sz w:val="24"/>
        </w:rPr>
        <w:t>阐明在发酵工程中灭菌是获得纯净的微生物培养物的前提</w:t>
      </w:r>
    </w:p>
    <w:p>
      <w:pPr>
        <w:pStyle w:val="ListParagraph"/>
        <w:numPr>
          <w:ilvl w:val="2"/>
          <w:numId w:val="26"/>
        </w:numPr>
        <w:tabs>
          <w:tab w:val="left" w:pos="1457"/>
        </w:tabs>
        <w:spacing w:before="113" w:after="0" w:line="328" w:lineRule="auto"/>
        <w:ind w:left="1490" w:right="234" w:hanging="640"/>
        <w:jc w:val="left"/>
        <w:rPr>
          <w:sz w:val="24"/>
        </w:rPr>
      </w:pPr>
      <w:r>
        <w:rPr>
          <w:color w:val="231F20"/>
          <w:spacing w:val="4"/>
          <w:sz w:val="24"/>
        </w:rPr>
        <w:t>阐明无菌技术是在操作过程中，保持无菌物品与无菌区域</w:t>
      </w:r>
      <w:r>
        <w:rPr>
          <w:color w:val="231F20"/>
          <w:sz w:val="24"/>
        </w:rPr>
        <w:t>不被微生物污染的技术</w:t>
      </w:r>
    </w:p>
    <w:p>
      <w:pPr>
        <w:pStyle w:val="ListParagraph"/>
        <w:numPr>
          <w:ilvl w:val="2"/>
          <w:numId w:val="26"/>
        </w:numPr>
        <w:tabs>
          <w:tab w:val="left" w:pos="1451"/>
        </w:tabs>
        <w:spacing w:before="0" w:after="0" w:line="305" w:lineRule="exact"/>
        <w:ind w:left="1450" w:right="0" w:hanging="601"/>
        <w:jc w:val="left"/>
        <w:rPr>
          <w:sz w:val="24"/>
        </w:rPr>
      </w:pPr>
      <w:r>
        <w:rPr>
          <w:color w:val="231F20"/>
          <w:spacing w:val="-12"/>
          <w:sz w:val="24"/>
        </w:rPr>
        <w:t>举例说明通过调整培养基的配方可有目的地培养某种微生物</w:t>
      </w:r>
    </w:p>
    <w:p>
      <w:pPr>
        <w:spacing w:after="0" w:line="305" w:lineRule="exact"/>
        <w:jc w:val="left"/>
        <w:rPr>
          <w:sz w:val="24"/>
        </w:rPr>
        <w:sectPr>
          <w:pgSz w:w="10780" w:h="15090"/>
          <w:pgMar w:top="1260" w:right="1460" w:bottom="1400" w:left="1480" w:header="1029" w:footer="1217"/>
          <w:cols w:space="708"/>
        </w:sectPr>
      </w:pPr>
    </w:p>
    <w:p>
      <w:pPr>
        <w:pStyle w:val="BodyText"/>
        <w:spacing w:before="12"/>
        <w:rPr>
          <w:sz w:val="29"/>
        </w:rPr>
      </w:pPr>
    </w:p>
    <w:p>
      <w:pPr>
        <w:pStyle w:val="ListParagraph"/>
        <w:numPr>
          <w:ilvl w:val="2"/>
          <w:numId w:val="26"/>
        </w:numPr>
        <w:tabs>
          <w:tab w:val="left" w:pos="1287"/>
        </w:tabs>
        <w:spacing w:before="76" w:after="0" w:line="328" w:lineRule="auto"/>
        <w:ind w:left="1320" w:right="405" w:hanging="640"/>
        <w:jc w:val="left"/>
        <w:rPr>
          <w:sz w:val="24"/>
        </w:rPr>
      </w:pPr>
      <w:r>
        <w:rPr>
          <w:color w:val="231F20"/>
          <w:spacing w:val="5"/>
          <w:sz w:val="24"/>
        </w:rPr>
        <w:t>概述平板划线法和稀释涂布平板法是实验室中进行微生物</w:t>
      </w:r>
      <w:r>
        <w:rPr>
          <w:color w:val="231F20"/>
          <w:sz w:val="24"/>
        </w:rPr>
        <w:t>分离和纯化的常用方法</w:t>
      </w:r>
    </w:p>
    <w:p>
      <w:pPr>
        <w:pStyle w:val="ListParagraph"/>
        <w:numPr>
          <w:ilvl w:val="2"/>
          <w:numId w:val="26"/>
        </w:numPr>
        <w:tabs>
          <w:tab w:val="left" w:pos="1283"/>
        </w:tabs>
        <w:spacing w:before="0" w:after="0" w:line="328" w:lineRule="auto"/>
        <w:ind w:left="1320" w:right="413" w:hanging="641"/>
        <w:jc w:val="left"/>
        <w:rPr>
          <w:sz w:val="24"/>
        </w:rPr>
      </w:pPr>
      <w:r>
        <w:rPr>
          <w:color w:val="231F20"/>
          <w:spacing w:val="-5"/>
          <w:sz w:val="24"/>
        </w:rPr>
        <w:t>概述稀释涂布平板法和显微镜计数法是测定微生物数量的常</w:t>
      </w:r>
      <w:r>
        <w:rPr>
          <w:color w:val="231F20"/>
          <w:spacing w:val="-6"/>
          <w:sz w:val="24"/>
        </w:rPr>
        <w:t>用方法</w:t>
      </w:r>
    </w:p>
    <w:p>
      <w:pPr>
        <w:pStyle w:val="ListParagraph"/>
        <w:numPr>
          <w:ilvl w:val="1"/>
          <w:numId w:val="26"/>
        </w:numPr>
        <w:tabs>
          <w:tab w:val="left" w:pos="641"/>
        </w:tabs>
        <w:spacing w:before="0" w:after="0" w:line="305" w:lineRule="exact"/>
        <w:ind w:left="640" w:right="0" w:hanging="421"/>
        <w:jc w:val="left"/>
        <w:rPr>
          <w:sz w:val="24"/>
        </w:rPr>
      </w:pPr>
      <w:r>
        <w:rPr>
          <w:color w:val="231F20"/>
          <w:sz w:val="24"/>
        </w:rPr>
        <w:t>发酵工程为人类提供多样的生物产品</w:t>
      </w:r>
    </w:p>
    <w:p>
      <w:pPr>
        <w:pStyle w:val="ListParagraph"/>
        <w:numPr>
          <w:ilvl w:val="2"/>
          <w:numId w:val="26"/>
        </w:numPr>
        <w:tabs>
          <w:tab w:val="left" w:pos="1281"/>
        </w:tabs>
        <w:spacing w:before="109" w:after="0" w:line="240" w:lineRule="auto"/>
        <w:ind w:left="1280" w:right="0" w:hanging="601"/>
        <w:jc w:val="left"/>
        <w:rPr>
          <w:sz w:val="24"/>
        </w:rPr>
      </w:pPr>
      <w:r>
        <w:rPr>
          <w:color w:val="231F20"/>
          <w:spacing w:val="-12"/>
          <w:sz w:val="24"/>
        </w:rPr>
        <w:t>举例说明日常生活中的某些食品是运用传统发酵技术生产的</w:t>
      </w:r>
    </w:p>
    <w:p>
      <w:pPr>
        <w:pStyle w:val="ListParagraph"/>
        <w:numPr>
          <w:ilvl w:val="2"/>
          <w:numId w:val="26"/>
        </w:numPr>
        <w:tabs>
          <w:tab w:val="left" w:pos="1287"/>
        </w:tabs>
        <w:spacing w:before="113" w:after="0" w:line="328" w:lineRule="auto"/>
        <w:ind w:left="1320" w:right="404" w:hanging="640"/>
        <w:jc w:val="left"/>
        <w:rPr>
          <w:sz w:val="24"/>
        </w:rPr>
      </w:pPr>
      <w:r>
        <w:rPr>
          <w:color w:val="231F20"/>
          <w:spacing w:val="4"/>
          <w:sz w:val="24"/>
        </w:rPr>
        <w:t>阐明发酵工程利用现代工程技术及微生物的特定功能，工</w:t>
      </w:r>
      <w:r>
        <w:rPr>
          <w:color w:val="231F20"/>
          <w:sz w:val="24"/>
        </w:rPr>
        <w:t>业化生产人类所需产品</w:t>
      </w:r>
    </w:p>
    <w:p>
      <w:pPr>
        <w:pStyle w:val="ListParagraph"/>
        <w:numPr>
          <w:ilvl w:val="2"/>
          <w:numId w:val="26"/>
        </w:numPr>
        <w:tabs>
          <w:tab w:val="left" w:pos="1287"/>
        </w:tabs>
        <w:spacing w:before="0" w:after="0" w:line="328" w:lineRule="auto"/>
        <w:ind w:left="1320" w:right="405" w:hanging="640"/>
        <w:jc w:val="left"/>
        <w:rPr>
          <w:sz w:val="24"/>
        </w:rPr>
      </w:pPr>
      <w:r>
        <w:rPr>
          <w:color w:val="231F20"/>
          <w:spacing w:val="4"/>
          <w:sz w:val="24"/>
        </w:rPr>
        <w:t>举例说明发酵工程在医药、食品及其他工农业生产上有重</w:t>
      </w:r>
      <w:r>
        <w:rPr>
          <w:color w:val="231F20"/>
          <w:sz w:val="24"/>
        </w:rPr>
        <w:t>要的应用价值</w:t>
      </w:r>
    </w:p>
    <w:p>
      <w:pPr>
        <w:pStyle w:val="BodyText"/>
        <w:spacing w:before="6"/>
        <w:rPr>
          <w:sz w:val="34"/>
        </w:rPr>
      </w:pPr>
    </w:p>
    <w:p>
      <w:pPr>
        <w:pStyle w:val="BodyText"/>
        <w:spacing w:before="1"/>
        <w:ind w:left="220"/>
        <w:jc w:val="both"/>
      </w:pPr>
      <w:r>
        <w:rPr>
          <w:color w:val="231F20"/>
          <w:spacing w:val="15"/>
        </w:rPr>
        <w:t>概念</w:t>
      </w:r>
      <w:r>
        <w:rPr>
          <w:rFonts w:ascii="Arial" w:eastAsia="Arial"/>
          <w:color w:val="231F20"/>
        </w:rPr>
        <w:t xml:space="preserve">4 </w:t>
      </w:r>
      <w:r>
        <w:rPr>
          <w:color w:val="231F20"/>
          <w:spacing w:val="-12"/>
        </w:rPr>
        <w:t>细胞工程通过细胞水平上的操作，获得有用的生物体或其产品</w:t>
      </w:r>
    </w:p>
    <w:p>
      <w:pPr>
        <w:pStyle w:val="ListParagraph"/>
        <w:numPr>
          <w:ilvl w:val="1"/>
          <w:numId w:val="25"/>
        </w:numPr>
        <w:tabs>
          <w:tab w:val="left" w:pos="641"/>
        </w:tabs>
        <w:spacing w:before="141" w:after="0" w:line="240" w:lineRule="auto"/>
        <w:ind w:left="640" w:right="0" w:hanging="421"/>
        <w:jc w:val="both"/>
        <w:rPr>
          <w:sz w:val="24"/>
        </w:rPr>
      </w:pPr>
      <w:r>
        <w:rPr>
          <w:color w:val="231F20"/>
          <w:sz w:val="24"/>
        </w:rPr>
        <w:t>植物细胞工程包括组织培养和体细胞杂交等技术</w:t>
      </w:r>
    </w:p>
    <w:p>
      <w:pPr>
        <w:pStyle w:val="ListParagraph"/>
        <w:numPr>
          <w:ilvl w:val="2"/>
          <w:numId w:val="25"/>
        </w:numPr>
        <w:tabs>
          <w:tab w:val="left" w:pos="1195"/>
        </w:tabs>
        <w:spacing w:before="113" w:after="0" w:line="328" w:lineRule="auto"/>
        <w:ind w:left="1320" w:right="397" w:hanging="641"/>
        <w:jc w:val="both"/>
        <w:rPr>
          <w:sz w:val="24"/>
        </w:rPr>
      </w:pPr>
      <w:r>
        <w:rPr>
          <w:color w:val="231F20"/>
          <w:spacing w:val="8"/>
          <w:sz w:val="24"/>
        </w:rPr>
        <w:t>阐明植物组织培养是在一定条件下，将离体植物器官、组</w:t>
      </w:r>
      <w:r>
        <w:rPr>
          <w:color w:val="231F20"/>
          <w:spacing w:val="3"/>
          <w:sz w:val="24"/>
        </w:rPr>
        <w:t>织和细胞在适宜的培养条件下诱导形成愈伤组织，并重新</w:t>
      </w:r>
      <w:r>
        <w:rPr>
          <w:color w:val="231F20"/>
          <w:sz w:val="24"/>
        </w:rPr>
        <w:t>分化，最终形成完整植株的过程</w:t>
      </w:r>
    </w:p>
    <w:p>
      <w:pPr>
        <w:pStyle w:val="ListParagraph"/>
        <w:numPr>
          <w:ilvl w:val="2"/>
          <w:numId w:val="25"/>
        </w:numPr>
        <w:tabs>
          <w:tab w:val="left" w:pos="1287"/>
        </w:tabs>
        <w:spacing w:before="0" w:after="0" w:line="328" w:lineRule="auto"/>
        <w:ind w:left="1320" w:right="405" w:hanging="640"/>
        <w:jc w:val="both"/>
        <w:rPr>
          <w:sz w:val="24"/>
        </w:rPr>
      </w:pPr>
      <w:r>
        <w:rPr>
          <w:color w:val="231F20"/>
          <w:spacing w:val="5"/>
          <w:sz w:val="24"/>
        </w:rPr>
        <w:t>概述植物体细胞杂交是将不同植物体细胞在一定条件下融</w:t>
      </w:r>
      <w:r>
        <w:rPr>
          <w:color w:val="231F20"/>
          <w:sz w:val="24"/>
        </w:rPr>
        <w:t>合成杂合细胞，继而培育成新植物体的技术</w:t>
      </w:r>
    </w:p>
    <w:p>
      <w:pPr>
        <w:pStyle w:val="ListParagraph"/>
        <w:numPr>
          <w:ilvl w:val="2"/>
          <w:numId w:val="25"/>
        </w:numPr>
        <w:tabs>
          <w:tab w:val="left" w:pos="1287"/>
        </w:tabs>
        <w:spacing w:before="0" w:after="0" w:line="328" w:lineRule="auto"/>
        <w:ind w:left="1320" w:right="405" w:hanging="640"/>
        <w:jc w:val="both"/>
        <w:rPr>
          <w:sz w:val="24"/>
        </w:rPr>
      </w:pPr>
      <w:r>
        <w:rPr>
          <w:color w:val="231F20"/>
          <w:spacing w:val="3"/>
          <w:sz w:val="24"/>
        </w:rPr>
        <w:t>举例说明植物细胞工程利用快速繁殖、脱毒、次生代谢产</w:t>
      </w:r>
      <w:r>
        <w:rPr>
          <w:color w:val="231F20"/>
          <w:sz w:val="24"/>
        </w:rPr>
        <w:t>物生产、育种等方式有效提高了生产效率</w:t>
      </w:r>
    </w:p>
    <w:p>
      <w:pPr>
        <w:pStyle w:val="ListParagraph"/>
        <w:numPr>
          <w:ilvl w:val="1"/>
          <w:numId w:val="25"/>
        </w:numPr>
        <w:tabs>
          <w:tab w:val="left" w:pos="643"/>
        </w:tabs>
        <w:spacing w:before="0" w:after="0" w:line="328" w:lineRule="auto"/>
        <w:ind w:left="660" w:right="404" w:hanging="441"/>
        <w:jc w:val="both"/>
        <w:rPr>
          <w:sz w:val="24"/>
        </w:rPr>
      </w:pPr>
      <w:r>
        <w:rPr>
          <w:color w:val="231F20"/>
          <w:sz w:val="24"/>
        </w:rPr>
        <w:t>动物细胞工程包括细胞培养、核移植、细胞融合和干细胞的应用等技术</w:t>
      </w:r>
    </w:p>
    <w:p>
      <w:pPr>
        <w:pStyle w:val="ListParagraph"/>
        <w:numPr>
          <w:ilvl w:val="2"/>
          <w:numId w:val="25"/>
        </w:numPr>
        <w:tabs>
          <w:tab w:val="left" w:pos="1287"/>
        </w:tabs>
        <w:spacing w:before="0" w:after="0" w:line="328" w:lineRule="auto"/>
        <w:ind w:left="1320" w:right="287" w:hanging="640"/>
        <w:jc w:val="left"/>
        <w:rPr>
          <w:sz w:val="24"/>
        </w:rPr>
      </w:pPr>
      <w:r>
        <w:rPr>
          <w:color w:val="231F20"/>
          <w:spacing w:val="4"/>
          <w:sz w:val="24"/>
        </w:rPr>
        <w:t>阐明动物细胞培养是从动物体获得相关组织，分散成单个</w:t>
      </w:r>
      <w:r>
        <w:rPr>
          <w:color w:val="231F20"/>
          <w:spacing w:val="5"/>
          <w:sz w:val="24"/>
        </w:rPr>
        <w:t>细胞后，在适宜的培养条件下让细胞生长和增殖的过程。</w:t>
      </w:r>
      <w:r>
        <w:rPr>
          <w:color w:val="231F20"/>
          <w:sz w:val="24"/>
        </w:rPr>
        <w:t>动物细胞培养是动物细胞工程的基础</w:t>
      </w:r>
    </w:p>
    <w:p>
      <w:pPr>
        <w:pStyle w:val="ListParagraph"/>
        <w:numPr>
          <w:ilvl w:val="2"/>
          <w:numId w:val="25"/>
        </w:numPr>
        <w:tabs>
          <w:tab w:val="left" w:pos="1286"/>
        </w:tabs>
        <w:spacing w:before="0" w:after="0" w:line="328" w:lineRule="auto"/>
        <w:ind w:left="1319" w:right="404" w:hanging="640"/>
        <w:jc w:val="both"/>
        <w:rPr>
          <w:sz w:val="24"/>
        </w:rPr>
      </w:pPr>
      <w:r>
        <w:rPr>
          <w:color w:val="231F20"/>
          <w:spacing w:val="5"/>
          <w:sz w:val="24"/>
        </w:rPr>
        <w:t>阐明动物细胞核移植一般是将体细胞核移入一个去核的卵</w:t>
      </w:r>
      <w:r>
        <w:rPr>
          <w:color w:val="231F20"/>
          <w:spacing w:val="2"/>
          <w:sz w:val="24"/>
        </w:rPr>
        <w:t>母细胞中，并使重组细胞发育成新胚胎，继而发育成动物</w:t>
      </w:r>
      <w:r>
        <w:rPr>
          <w:color w:val="231F20"/>
          <w:sz w:val="24"/>
        </w:rPr>
        <w:t>个体的过程</w:t>
      </w:r>
    </w:p>
    <w:p>
      <w:pPr>
        <w:spacing w:after="0" w:line="328" w:lineRule="auto"/>
        <w:jc w:val="both"/>
        <w:rPr>
          <w:sz w:val="24"/>
        </w:rPr>
        <w:sectPr>
          <w:pgSz w:w="10780" w:h="15090"/>
          <w:pgMar w:top="1260" w:right="1460" w:bottom="1400" w:left="1480" w:header="989" w:footer="1217"/>
          <w:cols w:space="708"/>
        </w:sectPr>
      </w:pPr>
    </w:p>
    <w:p>
      <w:pPr>
        <w:pStyle w:val="BodyText"/>
        <w:spacing w:before="2"/>
        <w:rPr>
          <w:sz w:val="29"/>
        </w:rPr>
      </w:pPr>
    </w:p>
    <w:p>
      <w:pPr>
        <w:pStyle w:val="ListParagraph"/>
        <w:numPr>
          <w:ilvl w:val="2"/>
          <w:numId w:val="25"/>
        </w:numPr>
        <w:tabs>
          <w:tab w:val="left" w:pos="1463"/>
        </w:tabs>
        <w:spacing w:before="75" w:after="0" w:line="328" w:lineRule="auto"/>
        <w:ind w:left="1490" w:right="119" w:hanging="641"/>
        <w:jc w:val="left"/>
        <w:rPr>
          <w:sz w:val="24"/>
        </w:rPr>
      </w:pPr>
      <w:r>
        <w:rPr>
          <w:color w:val="231F20"/>
          <w:spacing w:val="8"/>
          <w:sz w:val="24"/>
        </w:rPr>
        <w:t>阐明动物细胞融合是指通过物理、化学或生物学等手段， 使两个或多个动物细胞结合形成一个细胞的过程</w:t>
      </w:r>
    </w:p>
    <w:p>
      <w:pPr>
        <w:pStyle w:val="ListParagraph"/>
        <w:numPr>
          <w:ilvl w:val="2"/>
          <w:numId w:val="25"/>
        </w:numPr>
        <w:tabs>
          <w:tab w:val="left" w:pos="1451"/>
        </w:tabs>
        <w:spacing w:before="0" w:after="0" w:line="305" w:lineRule="exact"/>
        <w:ind w:left="1450" w:right="0" w:hanging="601"/>
        <w:jc w:val="left"/>
        <w:rPr>
          <w:sz w:val="24"/>
        </w:rPr>
      </w:pPr>
      <w:r>
        <w:rPr>
          <w:color w:val="231F20"/>
          <w:sz w:val="24"/>
        </w:rPr>
        <w:t>概述细胞融合技术是单克隆抗体制备的重要技术</w:t>
      </w:r>
    </w:p>
    <w:p>
      <w:pPr>
        <w:pStyle w:val="ListParagraph"/>
        <w:numPr>
          <w:ilvl w:val="2"/>
          <w:numId w:val="25"/>
        </w:numPr>
        <w:tabs>
          <w:tab w:val="left" w:pos="1451"/>
        </w:tabs>
        <w:spacing w:before="113" w:after="0" w:line="240" w:lineRule="auto"/>
        <w:ind w:left="1450" w:right="0" w:hanging="601"/>
        <w:jc w:val="left"/>
        <w:rPr>
          <w:sz w:val="24"/>
        </w:rPr>
      </w:pPr>
      <w:r>
        <w:rPr>
          <w:color w:val="231F20"/>
          <w:sz w:val="24"/>
        </w:rPr>
        <w:t>简述干细胞在生物医学工程中有广泛的应用价值</w:t>
      </w:r>
    </w:p>
    <w:p>
      <w:pPr>
        <w:pStyle w:val="ListParagraph"/>
        <w:numPr>
          <w:ilvl w:val="1"/>
          <w:numId w:val="25"/>
        </w:numPr>
        <w:tabs>
          <w:tab w:val="left" w:pos="811"/>
        </w:tabs>
        <w:spacing w:before="112" w:after="0" w:line="240" w:lineRule="auto"/>
        <w:ind w:left="810" w:right="0" w:hanging="421"/>
        <w:jc w:val="left"/>
        <w:rPr>
          <w:sz w:val="24"/>
        </w:rPr>
      </w:pPr>
      <w:r>
        <w:rPr>
          <w:color w:val="231F20"/>
          <w:sz w:val="24"/>
        </w:rPr>
        <w:t>对动物早期胚胎或配子进行显微操作和处理以获得目标个体</w:t>
      </w:r>
    </w:p>
    <w:p>
      <w:pPr>
        <w:pStyle w:val="ListParagraph"/>
        <w:numPr>
          <w:ilvl w:val="2"/>
          <w:numId w:val="25"/>
        </w:numPr>
        <w:tabs>
          <w:tab w:val="left" w:pos="1451"/>
        </w:tabs>
        <w:spacing w:before="113" w:after="0" w:line="240" w:lineRule="auto"/>
        <w:ind w:left="1450" w:right="0" w:hanging="601"/>
        <w:jc w:val="left"/>
        <w:rPr>
          <w:sz w:val="24"/>
        </w:rPr>
      </w:pPr>
      <w:r>
        <w:rPr>
          <w:color w:val="231F20"/>
          <w:sz w:val="24"/>
        </w:rPr>
        <w:t>简述胚胎形成经过了受精及早期发育等过程</w:t>
      </w:r>
    </w:p>
    <w:p>
      <w:pPr>
        <w:pStyle w:val="ListParagraph"/>
        <w:numPr>
          <w:ilvl w:val="2"/>
          <w:numId w:val="25"/>
        </w:numPr>
        <w:tabs>
          <w:tab w:val="left" w:pos="1451"/>
        </w:tabs>
        <w:spacing w:before="112" w:after="0" w:line="240" w:lineRule="auto"/>
        <w:ind w:left="1450" w:right="0" w:hanging="601"/>
        <w:jc w:val="left"/>
        <w:rPr>
          <w:sz w:val="24"/>
        </w:rPr>
      </w:pPr>
      <w:r>
        <w:rPr>
          <w:color w:val="231F20"/>
          <w:sz w:val="24"/>
        </w:rPr>
        <w:t>简述胚胎工程包括体外受精、胚胎移植和胚胎分割等技术</w:t>
      </w:r>
    </w:p>
    <w:p>
      <w:pPr>
        <w:pStyle w:val="BodyText"/>
        <w:rPr>
          <w:sz w:val="26"/>
        </w:rPr>
      </w:pPr>
    </w:p>
    <w:p>
      <w:pPr>
        <w:pStyle w:val="BodyText"/>
        <w:tabs>
          <w:tab w:val="left" w:pos="1274"/>
        </w:tabs>
        <w:spacing w:before="227"/>
        <w:ind w:left="390"/>
      </w:pPr>
      <w:r>
        <w:rPr>
          <w:color w:val="231F20"/>
        </w:rPr>
        <w:t>概</w:t>
      </w:r>
      <w:r>
        <w:rPr>
          <w:color w:val="231F20"/>
          <w:spacing w:val="30"/>
        </w:rPr>
        <w:t>念</w:t>
      </w:r>
      <w:r>
        <w:rPr>
          <w:rFonts w:ascii="Arial" w:eastAsia="Arial"/>
          <w:color w:val="231F20"/>
        </w:rPr>
        <w:t>5</w:t>
        <w:tab/>
      </w:r>
      <w:r>
        <w:rPr>
          <w:color w:val="231F20"/>
        </w:rPr>
        <w:t>基因工程赋予生物新的遗传特性</w:t>
      </w:r>
    </w:p>
    <w:p>
      <w:pPr>
        <w:pStyle w:val="ListParagraph"/>
        <w:numPr>
          <w:ilvl w:val="1"/>
          <w:numId w:val="24"/>
        </w:numPr>
        <w:tabs>
          <w:tab w:val="left" w:pos="811"/>
        </w:tabs>
        <w:spacing w:before="142" w:after="0" w:line="240" w:lineRule="auto"/>
        <w:ind w:left="810" w:right="0" w:hanging="421"/>
        <w:jc w:val="left"/>
        <w:rPr>
          <w:sz w:val="24"/>
        </w:rPr>
      </w:pPr>
      <w:r>
        <w:rPr>
          <w:color w:val="231F20"/>
          <w:spacing w:val="3"/>
          <w:sz w:val="24"/>
        </w:rPr>
        <w:t>基因工程是一种重组</w:t>
      </w:r>
      <w:r>
        <w:rPr>
          <w:rFonts w:ascii="Times New Roman" w:eastAsia="Times New Roman"/>
          <w:color w:val="231F20"/>
          <w:spacing w:val="-3"/>
          <w:sz w:val="24"/>
        </w:rPr>
        <w:t>DNA</w:t>
      </w:r>
      <w:r>
        <w:rPr>
          <w:rFonts w:ascii="Times New Roman" w:eastAsia="Times New Roman"/>
          <w:color w:val="231F20"/>
          <w:spacing w:val="-30"/>
          <w:sz w:val="24"/>
        </w:rPr>
        <w:t xml:space="preserve"> </w:t>
      </w:r>
      <w:r>
        <w:rPr>
          <w:color w:val="231F20"/>
          <w:sz w:val="24"/>
        </w:rPr>
        <w:t>技术</w:t>
      </w:r>
    </w:p>
    <w:p>
      <w:pPr>
        <w:pStyle w:val="ListParagraph"/>
        <w:numPr>
          <w:ilvl w:val="2"/>
          <w:numId w:val="24"/>
        </w:numPr>
        <w:tabs>
          <w:tab w:val="left" w:pos="1457"/>
        </w:tabs>
        <w:spacing w:before="112" w:after="0" w:line="328" w:lineRule="auto"/>
        <w:ind w:left="1490" w:right="234" w:hanging="640"/>
        <w:jc w:val="left"/>
        <w:rPr>
          <w:sz w:val="24"/>
        </w:rPr>
      </w:pPr>
      <w:r>
        <w:rPr>
          <w:color w:val="231F20"/>
          <w:spacing w:val="3"/>
          <w:sz w:val="24"/>
        </w:rPr>
        <w:t>概述基因工程是在遗传学、微生物学、生物化学和分子生</w:t>
      </w:r>
      <w:r>
        <w:rPr>
          <w:color w:val="231F20"/>
          <w:sz w:val="24"/>
        </w:rPr>
        <w:t>物学等学科基础上发展而来的</w:t>
      </w:r>
    </w:p>
    <w:p>
      <w:pPr>
        <w:pStyle w:val="ListParagraph"/>
        <w:numPr>
          <w:ilvl w:val="2"/>
          <w:numId w:val="24"/>
        </w:numPr>
        <w:tabs>
          <w:tab w:val="left" w:pos="1471"/>
        </w:tabs>
        <w:spacing w:before="0" w:after="0" w:line="305" w:lineRule="exact"/>
        <w:ind w:left="1470" w:right="0" w:hanging="621"/>
        <w:jc w:val="left"/>
        <w:rPr>
          <w:sz w:val="24"/>
        </w:rPr>
      </w:pPr>
      <w:r>
        <w:rPr>
          <w:color w:val="231F20"/>
          <w:spacing w:val="28"/>
          <w:sz w:val="24"/>
        </w:rPr>
        <w:t>阐明</w:t>
      </w:r>
      <w:r>
        <w:rPr>
          <w:rFonts w:ascii="Times New Roman" w:eastAsia="Times New Roman"/>
          <w:color w:val="231F20"/>
          <w:spacing w:val="-3"/>
          <w:sz w:val="24"/>
        </w:rPr>
        <w:t>DNA</w:t>
      </w:r>
      <w:r>
        <w:rPr>
          <w:rFonts w:ascii="Times New Roman" w:eastAsia="Times New Roman"/>
          <w:color w:val="231F20"/>
          <w:spacing w:val="-24"/>
          <w:sz w:val="24"/>
        </w:rPr>
        <w:t xml:space="preserve"> </w:t>
      </w:r>
      <w:r>
        <w:rPr>
          <w:color w:val="231F20"/>
          <w:spacing w:val="16"/>
          <w:sz w:val="24"/>
        </w:rPr>
        <w:t>重组技术的实现需要利用限制性内切核酸酶、</w:t>
      </w:r>
    </w:p>
    <w:p>
      <w:pPr>
        <w:pStyle w:val="BodyText"/>
        <w:spacing w:before="113"/>
        <w:ind w:left="1490"/>
      </w:pPr>
      <w:r>
        <w:rPr>
          <w:rFonts w:ascii="Times New Roman" w:eastAsia="Times New Roman"/>
          <w:color w:val="231F20"/>
        </w:rPr>
        <w:t xml:space="preserve">DNA </w:t>
      </w:r>
      <w:r>
        <w:rPr>
          <w:color w:val="231F20"/>
        </w:rPr>
        <w:t>连接酶和载体三种基本工具</w:t>
      </w:r>
    </w:p>
    <w:p>
      <w:pPr>
        <w:pStyle w:val="ListParagraph"/>
        <w:numPr>
          <w:ilvl w:val="2"/>
          <w:numId w:val="24"/>
        </w:numPr>
        <w:tabs>
          <w:tab w:val="left" w:pos="1462"/>
        </w:tabs>
        <w:spacing w:before="112" w:after="0" w:line="328" w:lineRule="auto"/>
        <w:ind w:left="1490" w:right="119" w:hanging="641"/>
        <w:jc w:val="left"/>
        <w:rPr>
          <w:sz w:val="24"/>
        </w:rPr>
      </w:pPr>
      <w:r>
        <w:rPr>
          <w:color w:val="231F20"/>
          <w:spacing w:val="8"/>
          <w:sz w:val="24"/>
        </w:rPr>
        <w:t>阐明基因工程的基本操作程序主要包括目的基因的获取、</w:t>
      </w:r>
      <w:r>
        <w:rPr>
          <w:color w:val="231F20"/>
          <w:spacing w:val="3"/>
          <w:sz w:val="24"/>
        </w:rPr>
        <w:t>基因表达载体的构建、目的基因导入受体细胞和目的基因</w:t>
      </w:r>
      <w:r>
        <w:rPr>
          <w:color w:val="231F20"/>
          <w:sz w:val="24"/>
        </w:rPr>
        <w:t>及其表达产物的检测鉴定等步骤</w:t>
      </w:r>
    </w:p>
    <w:p>
      <w:pPr>
        <w:pStyle w:val="ListParagraph"/>
        <w:numPr>
          <w:ilvl w:val="2"/>
          <w:numId w:val="24"/>
        </w:numPr>
        <w:tabs>
          <w:tab w:val="left" w:pos="1457"/>
        </w:tabs>
        <w:spacing w:before="0" w:after="0" w:line="328" w:lineRule="auto"/>
        <w:ind w:left="1490" w:right="235" w:hanging="640"/>
        <w:jc w:val="left"/>
        <w:rPr>
          <w:sz w:val="24"/>
        </w:rPr>
      </w:pPr>
      <w:r>
        <w:rPr>
          <w:color w:val="231F20"/>
          <w:spacing w:val="4"/>
          <w:sz w:val="24"/>
        </w:rPr>
        <w:t>举例说明基因工程在农牧、食品及医药等行业的广泛应用</w:t>
      </w:r>
      <w:r>
        <w:rPr>
          <w:color w:val="231F20"/>
          <w:sz w:val="24"/>
        </w:rPr>
        <w:t>改善了人类的生活品质</w:t>
      </w:r>
    </w:p>
    <w:p>
      <w:pPr>
        <w:pStyle w:val="ListParagraph"/>
        <w:numPr>
          <w:ilvl w:val="1"/>
          <w:numId w:val="24"/>
        </w:numPr>
        <w:tabs>
          <w:tab w:val="left" w:pos="811"/>
        </w:tabs>
        <w:spacing w:before="0" w:after="0" w:line="305" w:lineRule="exact"/>
        <w:ind w:left="810" w:right="0" w:hanging="421"/>
        <w:jc w:val="left"/>
        <w:rPr>
          <w:sz w:val="24"/>
        </w:rPr>
      </w:pPr>
      <w:r>
        <w:rPr>
          <w:color w:val="231F20"/>
          <w:sz w:val="24"/>
        </w:rPr>
        <w:t>蛋白质工程是基因工程的延伸</w:t>
      </w:r>
    </w:p>
    <w:p>
      <w:pPr>
        <w:pStyle w:val="ListParagraph"/>
        <w:numPr>
          <w:ilvl w:val="2"/>
          <w:numId w:val="24"/>
        </w:numPr>
        <w:tabs>
          <w:tab w:val="left" w:pos="1457"/>
        </w:tabs>
        <w:spacing w:before="109" w:after="0" w:line="328" w:lineRule="auto"/>
        <w:ind w:left="1490" w:right="235" w:hanging="640"/>
        <w:jc w:val="left"/>
        <w:rPr>
          <w:sz w:val="24"/>
        </w:rPr>
      </w:pPr>
      <w:r>
        <w:rPr>
          <w:color w:val="231F20"/>
          <w:spacing w:val="3"/>
          <w:sz w:val="24"/>
        </w:rPr>
        <w:t>概述人们根据基因工程原理，进行蛋白质设计和改造，可</w:t>
      </w:r>
      <w:r>
        <w:rPr>
          <w:color w:val="231F20"/>
          <w:sz w:val="24"/>
        </w:rPr>
        <w:t>以获得性状和功能更符合人类需求的蛋白质</w:t>
      </w:r>
    </w:p>
    <w:p>
      <w:pPr>
        <w:pStyle w:val="ListParagraph"/>
        <w:numPr>
          <w:ilvl w:val="2"/>
          <w:numId w:val="24"/>
        </w:numPr>
        <w:tabs>
          <w:tab w:val="left" w:pos="1462"/>
        </w:tabs>
        <w:spacing w:before="0" w:after="0" w:line="328" w:lineRule="auto"/>
        <w:ind w:left="1490" w:right="120" w:hanging="641"/>
        <w:jc w:val="left"/>
        <w:rPr>
          <w:sz w:val="24"/>
        </w:rPr>
      </w:pPr>
      <w:r>
        <w:rPr>
          <w:color w:val="231F20"/>
          <w:spacing w:val="8"/>
          <w:sz w:val="24"/>
        </w:rPr>
        <w:t>举例说明依据人类需要对原有蛋白质结构进行基因改造、生产目标蛋白的过程</w:t>
      </w:r>
    </w:p>
    <w:p>
      <w:pPr>
        <w:pStyle w:val="BodyText"/>
        <w:spacing w:before="7"/>
        <w:rPr>
          <w:sz w:val="34"/>
        </w:rPr>
      </w:pPr>
    </w:p>
    <w:p>
      <w:pPr>
        <w:pStyle w:val="BodyText"/>
        <w:tabs>
          <w:tab w:val="left" w:pos="1273"/>
        </w:tabs>
        <w:ind w:left="390"/>
      </w:pPr>
      <w:r>
        <w:rPr>
          <w:color w:val="231F20"/>
        </w:rPr>
        <w:t>概</w:t>
      </w:r>
      <w:r>
        <w:rPr>
          <w:color w:val="231F20"/>
          <w:spacing w:val="30"/>
        </w:rPr>
        <w:t>念</w:t>
      </w:r>
      <w:r>
        <w:rPr>
          <w:rFonts w:ascii="Arial" w:eastAsia="Arial"/>
          <w:color w:val="231F20"/>
        </w:rPr>
        <w:t>6</w:t>
        <w:tab/>
      </w:r>
      <w:r>
        <w:rPr>
          <w:color w:val="231F20"/>
          <w:spacing w:val="-12"/>
        </w:rPr>
        <w:t>生物技术在造福人类社会的同时也可能会带来安全与伦理问题</w:t>
      </w:r>
    </w:p>
    <w:p>
      <w:pPr>
        <w:pStyle w:val="ListParagraph"/>
        <w:numPr>
          <w:ilvl w:val="1"/>
          <w:numId w:val="23"/>
        </w:numPr>
        <w:tabs>
          <w:tab w:val="left" w:pos="420"/>
        </w:tabs>
        <w:spacing w:before="142" w:after="0" w:line="240" w:lineRule="auto"/>
        <w:ind w:left="810" w:right="2699" w:hanging="811"/>
        <w:jc w:val="right"/>
        <w:rPr>
          <w:sz w:val="24"/>
        </w:rPr>
      </w:pPr>
      <w:r>
        <w:rPr>
          <w:color w:val="231F20"/>
          <w:sz w:val="24"/>
        </w:rPr>
        <w:t>转基因产品的安全性引发社会的广泛关注</w:t>
      </w:r>
    </w:p>
    <w:p>
      <w:pPr>
        <w:pStyle w:val="ListParagraph"/>
        <w:numPr>
          <w:ilvl w:val="2"/>
          <w:numId w:val="23"/>
        </w:numPr>
        <w:tabs>
          <w:tab w:val="left" w:pos="600"/>
        </w:tabs>
        <w:spacing w:before="112" w:after="0" w:line="240" w:lineRule="auto"/>
        <w:ind w:left="1450" w:right="2779" w:hanging="1451"/>
        <w:jc w:val="right"/>
        <w:rPr>
          <w:sz w:val="24"/>
        </w:rPr>
      </w:pPr>
      <w:r>
        <w:rPr>
          <w:color w:val="231F20"/>
          <w:sz w:val="24"/>
        </w:rPr>
        <w:t>举例说出日常生活中的转基因产品</w:t>
      </w:r>
    </w:p>
    <w:p>
      <w:pPr>
        <w:spacing w:after="0" w:line="240" w:lineRule="auto"/>
        <w:jc w:val="right"/>
        <w:rPr>
          <w:sz w:val="24"/>
        </w:rPr>
        <w:sectPr>
          <w:pgSz w:w="10780" w:h="15090"/>
          <w:pgMar w:top="1260" w:right="1460" w:bottom="1400" w:left="1480" w:header="1029" w:footer="1217"/>
          <w:cols w:space="708"/>
        </w:sectPr>
      </w:pPr>
    </w:p>
    <w:p>
      <w:pPr>
        <w:pStyle w:val="BodyText"/>
        <w:spacing w:before="12"/>
        <w:rPr>
          <w:sz w:val="29"/>
        </w:rPr>
      </w:pPr>
    </w:p>
    <w:p>
      <w:pPr>
        <w:pStyle w:val="ListParagraph"/>
        <w:numPr>
          <w:ilvl w:val="2"/>
          <w:numId w:val="23"/>
        </w:numPr>
        <w:tabs>
          <w:tab w:val="left" w:pos="1281"/>
        </w:tabs>
        <w:spacing w:before="76" w:after="0" w:line="240" w:lineRule="auto"/>
        <w:ind w:left="1280" w:right="0" w:hanging="601"/>
        <w:jc w:val="left"/>
        <w:rPr>
          <w:sz w:val="24"/>
        </w:rPr>
      </w:pPr>
      <w:r>
        <w:rPr>
          <w:color w:val="231F20"/>
          <w:sz w:val="24"/>
        </w:rPr>
        <w:t>探讨转基因技术在应用过程中带来的影响</w:t>
      </w:r>
    </w:p>
    <w:p>
      <w:pPr>
        <w:pStyle w:val="ListParagraph"/>
        <w:numPr>
          <w:ilvl w:val="1"/>
          <w:numId w:val="23"/>
        </w:numPr>
        <w:tabs>
          <w:tab w:val="left" w:pos="641"/>
        </w:tabs>
        <w:spacing w:before="112" w:after="0" w:line="240" w:lineRule="auto"/>
        <w:ind w:left="640" w:right="0" w:hanging="421"/>
        <w:jc w:val="left"/>
        <w:rPr>
          <w:sz w:val="24"/>
        </w:rPr>
      </w:pPr>
      <w:r>
        <w:rPr>
          <w:color w:val="231F20"/>
          <w:sz w:val="24"/>
        </w:rPr>
        <w:t>中国禁止生殖性克隆人</w:t>
      </w:r>
    </w:p>
    <w:p>
      <w:pPr>
        <w:pStyle w:val="ListParagraph"/>
        <w:numPr>
          <w:ilvl w:val="2"/>
          <w:numId w:val="23"/>
        </w:numPr>
        <w:tabs>
          <w:tab w:val="left" w:pos="1281"/>
        </w:tabs>
        <w:spacing w:before="113" w:after="0" w:line="240" w:lineRule="auto"/>
        <w:ind w:left="1280" w:right="0" w:hanging="601"/>
        <w:jc w:val="left"/>
        <w:rPr>
          <w:sz w:val="24"/>
        </w:rPr>
      </w:pPr>
      <w:r>
        <w:rPr>
          <w:color w:val="231F20"/>
          <w:sz w:val="24"/>
        </w:rPr>
        <w:t>举例说出生殖性克隆人面临的伦理问题</w:t>
      </w:r>
    </w:p>
    <w:p>
      <w:pPr>
        <w:pStyle w:val="ListParagraph"/>
        <w:numPr>
          <w:ilvl w:val="2"/>
          <w:numId w:val="23"/>
        </w:numPr>
        <w:tabs>
          <w:tab w:val="left" w:pos="1288"/>
        </w:tabs>
        <w:spacing w:before="112" w:after="0" w:line="328" w:lineRule="auto"/>
        <w:ind w:left="1320" w:right="410" w:hanging="641"/>
        <w:jc w:val="left"/>
        <w:rPr>
          <w:sz w:val="24"/>
        </w:rPr>
      </w:pPr>
      <w:r>
        <w:rPr>
          <w:color w:val="231F20"/>
          <w:spacing w:val="2"/>
          <w:sz w:val="24"/>
        </w:rPr>
        <w:t>分析说明我国为什么不赞成、不允许、不支持、不接受任何生殖性克隆人实验</w:t>
      </w:r>
    </w:p>
    <w:p>
      <w:pPr>
        <w:pStyle w:val="ListParagraph"/>
        <w:numPr>
          <w:ilvl w:val="1"/>
          <w:numId w:val="23"/>
        </w:numPr>
        <w:tabs>
          <w:tab w:val="left" w:pos="641"/>
        </w:tabs>
        <w:spacing w:before="0" w:after="0" w:line="305" w:lineRule="exact"/>
        <w:ind w:left="640" w:right="0" w:hanging="421"/>
        <w:jc w:val="left"/>
        <w:rPr>
          <w:sz w:val="24"/>
        </w:rPr>
      </w:pPr>
      <w:r>
        <w:rPr>
          <w:color w:val="231F20"/>
          <w:sz w:val="24"/>
        </w:rPr>
        <w:t>世界范围内应全面禁止生物武器</w:t>
      </w:r>
    </w:p>
    <w:p>
      <w:pPr>
        <w:pStyle w:val="ListParagraph"/>
        <w:numPr>
          <w:ilvl w:val="2"/>
          <w:numId w:val="23"/>
        </w:numPr>
        <w:tabs>
          <w:tab w:val="left" w:pos="1282"/>
        </w:tabs>
        <w:spacing w:before="113" w:after="0" w:line="240" w:lineRule="auto"/>
        <w:ind w:left="1281" w:right="0" w:hanging="601"/>
        <w:jc w:val="left"/>
        <w:rPr>
          <w:sz w:val="24"/>
        </w:rPr>
      </w:pPr>
      <w:r>
        <w:rPr>
          <w:color w:val="231F20"/>
          <w:sz w:val="24"/>
        </w:rPr>
        <w:t>举例说明历史上生物武器对人类造成了严重的威胁与伤害</w:t>
      </w:r>
    </w:p>
    <w:p>
      <w:pPr>
        <w:pStyle w:val="ListParagraph"/>
        <w:numPr>
          <w:ilvl w:val="2"/>
          <w:numId w:val="23"/>
        </w:numPr>
        <w:tabs>
          <w:tab w:val="left" w:pos="1282"/>
        </w:tabs>
        <w:spacing w:before="112" w:after="0" w:line="240" w:lineRule="auto"/>
        <w:ind w:left="1281" w:right="0" w:hanging="601"/>
        <w:jc w:val="left"/>
        <w:rPr>
          <w:sz w:val="24"/>
        </w:rPr>
      </w:pPr>
      <w:r>
        <w:rPr>
          <w:color w:val="231F20"/>
          <w:sz w:val="24"/>
        </w:rPr>
        <w:t>认同我国反对生物武器及其技术和设备的扩散</w:t>
      </w:r>
    </w:p>
    <w:p>
      <w:pPr>
        <w:pStyle w:val="BodyText"/>
        <w:rPr>
          <w:sz w:val="26"/>
        </w:rPr>
      </w:pPr>
    </w:p>
    <w:p>
      <w:pPr>
        <w:pStyle w:val="BodyText"/>
        <w:spacing w:before="201"/>
        <w:ind w:left="580"/>
      </w:pPr>
      <w:r>
        <w:rPr>
          <w:color w:val="231F20"/>
        </w:rPr>
        <w:t>【教学提示】</w:t>
      </w:r>
    </w:p>
    <w:p>
      <w:pPr>
        <w:pStyle w:val="BodyText"/>
        <w:spacing w:before="111" w:line="328" w:lineRule="auto"/>
        <w:ind w:left="220" w:right="290" w:firstLine="480"/>
      </w:pPr>
      <w:r>
        <w:rPr>
          <w:color w:val="231F20"/>
        </w:rPr>
        <w:t>在本模块的教学中，教师既要使用讲授演示的方式进行教学，更要为学生提供实验条件及必要的参考资料，指导其设计和进行实验。根据本模块的特点，教师应该给予学生更多的机会参与主动的学习活动。例如，要求学生在学习了有关知识的基础上，自己设计实践方案并进行实验，也可以安排学生收集和整理资料，撰写报告，相互讨论。教师要充分利用实验室条件，尽可能减少每个实验小组的人数， 使每个学生都有充分的动手实践机会。此外，基于所有生物遗传物质的一致性及基因组研究的成果，教师可介绍有关合成生物学的研究进展及其意义。</w:t>
      </w:r>
    </w:p>
    <w:p>
      <w:pPr>
        <w:pStyle w:val="BodyText"/>
        <w:spacing w:line="328" w:lineRule="auto"/>
        <w:ind w:left="220" w:right="398" w:firstLine="480"/>
        <w:jc w:val="both"/>
      </w:pPr>
      <w:r>
        <w:rPr>
          <w:color w:val="231F20"/>
          <w:spacing w:val="1"/>
        </w:rPr>
        <w:t>为帮助学生达成对选择性必修课程概念</w:t>
      </w:r>
      <w:r>
        <w:rPr>
          <w:rFonts w:ascii="Times New Roman" w:eastAsia="Times New Roman"/>
          <w:color w:val="231F20"/>
        </w:rPr>
        <w:t xml:space="preserve">3 </w:t>
      </w:r>
      <w:r>
        <w:rPr>
          <w:color w:val="231F20"/>
        </w:rPr>
        <w:t>的理解，促进学生生物</w:t>
      </w:r>
      <w:r>
        <w:rPr>
          <w:color w:val="231F20"/>
          <w:spacing w:val="8"/>
        </w:rPr>
        <w:t>学学科核心素养的提升，应开展下列教学活动</w:t>
      </w:r>
      <w:r>
        <w:rPr>
          <w:color w:val="231F20"/>
          <w:spacing w:val="-120"/>
        </w:rPr>
        <w:t>：</w:t>
      </w:r>
      <w:r>
        <w:rPr>
          <w:color w:val="231F20"/>
          <w:spacing w:val="-2"/>
        </w:rPr>
        <w:t>（</w:t>
      </w:r>
      <w:r>
        <w:rPr>
          <w:rFonts w:ascii="Times New Roman" w:eastAsia="Times New Roman"/>
          <w:color w:val="231F20"/>
        </w:rPr>
        <w:t>1</w:t>
      </w:r>
      <w:r>
        <w:rPr>
          <w:color w:val="231F20"/>
          <w:spacing w:val="10"/>
        </w:rPr>
        <w:t>）</w:t>
      </w:r>
      <w:r>
        <w:rPr>
          <w:color w:val="231F20"/>
          <w:spacing w:val="7"/>
        </w:rPr>
        <w:t>通过配制培养</w:t>
      </w:r>
      <w:r>
        <w:rPr>
          <w:color w:val="231F20"/>
          <w:spacing w:val="-5"/>
        </w:rPr>
        <w:t>基、灭菌、接种和培养等实验操作获得纯化的酵母菌落；</w:t>
      </w:r>
      <w:r>
        <w:rPr>
          <w:color w:val="231F20"/>
        </w:rPr>
        <w:t>（</w:t>
      </w:r>
      <w:r>
        <w:rPr>
          <w:rFonts w:ascii="Times New Roman" w:eastAsia="Times New Roman"/>
          <w:color w:val="231F20"/>
        </w:rPr>
        <w:t>2</w:t>
      </w:r>
      <w:r>
        <w:rPr>
          <w:color w:val="231F20"/>
        </w:rPr>
        <w:t>）分离土</w:t>
      </w:r>
      <w:r>
        <w:rPr>
          <w:color w:val="231F20"/>
          <w:spacing w:val="-8"/>
        </w:rPr>
        <w:t>壤中分解尿素的细菌，并进行计数；</w:t>
      </w:r>
      <w:r>
        <w:rPr>
          <w:color w:val="231F20"/>
        </w:rPr>
        <w:t>（</w:t>
      </w:r>
      <w:r>
        <w:rPr>
          <w:rFonts w:ascii="Times New Roman" w:eastAsia="Times New Roman"/>
          <w:color w:val="231F20"/>
        </w:rPr>
        <w:t>3</w:t>
      </w:r>
      <w:r>
        <w:rPr>
          <w:color w:val="231F20"/>
        </w:rPr>
        <w:t>）利用乳酸菌发酵制作酸奶或</w:t>
      </w:r>
      <w:r>
        <w:rPr>
          <w:color w:val="231F20"/>
          <w:spacing w:val="-40"/>
        </w:rPr>
        <w:t>泡菜；</w:t>
      </w:r>
      <w:r>
        <w:rPr>
          <w:color w:val="231F20"/>
        </w:rPr>
        <w:t>（</w:t>
      </w:r>
      <w:r>
        <w:rPr>
          <w:rFonts w:ascii="Times New Roman" w:eastAsia="Times New Roman"/>
          <w:color w:val="231F20"/>
        </w:rPr>
        <w:t>4</w:t>
      </w:r>
      <w:r>
        <w:rPr>
          <w:color w:val="231F20"/>
        </w:rPr>
        <w:t>）利用酵母菌、醋酸菌分别制作果酒和果醋。</w:t>
      </w:r>
    </w:p>
    <w:p>
      <w:pPr>
        <w:pStyle w:val="BodyText"/>
        <w:spacing w:line="328" w:lineRule="auto"/>
        <w:ind w:left="220" w:right="406" w:firstLine="480"/>
        <w:jc w:val="both"/>
      </w:pPr>
      <w:r>
        <w:rPr>
          <w:color w:val="231F20"/>
          <w:spacing w:val="1"/>
        </w:rPr>
        <w:t>为帮助学生达成对选择性必修课程概念</w:t>
      </w:r>
      <w:r>
        <w:rPr>
          <w:rFonts w:ascii="Times New Roman" w:eastAsia="Times New Roman"/>
          <w:color w:val="231F20"/>
        </w:rPr>
        <w:t xml:space="preserve">4 </w:t>
      </w:r>
      <w:r>
        <w:rPr>
          <w:color w:val="231F20"/>
        </w:rPr>
        <w:t>的理解，促进学生生物</w:t>
      </w:r>
      <w:r>
        <w:rPr>
          <w:color w:val="231F20"/>
          <w:spacing w:val="-6"/>
        </w:rPr>
        <w:t>学学科核心素养的提升，应开展下列教学活动：</w:t>
      </w:r>
      <w:r>
        <w:rPr>
          <w:color w:val="231F20"/>
        </w:rPr>
        <w:t>（</w:t>
      </w:r>
      <w:r>
        <w:rPr>
          <w:rFonts w:ascii="Times New Roman" w:eastAsia="Times New Roman"/>
          <w:color w:val="231F20"/>
        </w:rPr>
        <w:t>1</w:t>
      </w:r>
      <w:r>
        <w:rPr>
          <w:color w:val="231F20"/>
        </w:rPr>
        <w:t>）</w:t>
      </w:r>
      <w:r>
        <w:rPr>
          <w:color w:val="231F20"/>
          <w:spacing w:val="-3"/>
        </w:rPr>
        <w:t>利用植物组织培</w:t>
      </w:r>
      <w:r>
        <w:rPr>
          <w:color w:val="231F20"/>
          <w:spacing w:val="-6"/>
        </w:rPr>
        <w:t>养技术培育菊花或其他植物幼苗，并进行栽培；</w:t>
      </w:r>
      <w:r>
        <w:rPr>
          <w:color w:val="231F20"/>
        </w:rPr>
        <w:t>（</w:t>
      </w:r>
      <w:r>
        <w:rPr>
          <w:rFonts w:ascii="Times New Roman" w:eastAsia="Times New Roman"/>
          <w:color w:val="231F20"/>
        </w:rPr>
        <w:t>2</w:t>
      </w:r>
      <w:r>
        <w:rPr>
          <w:color w:val="231F20"/>
        </w:rPr>
        <w:t>）</w:t>
      </w:r>
      <w:r>
        <w:rPr>
          <w:color w:val="231F20"/>
          <w:spacing w:val="-3"/>
        </w:rPr>
        <w:t>收集单克隆抗体</w:t>
      </w:r>
      <w:r>
        <w:rPr>
          <w:color w:val="231F20"/>
        </w:rPr>
        <w:t>在临床上实际应用的资料，并进行交流分享。</w:t>
      </w:r>
    </w:p>
    <w:p>
      <w:pPr>
        <w:spacing w:after="0" w:line="328" w:lineRule="auto"/>
        <w:jc w:val="both"/>
        <w:sectPr>
          <w:pgSz w:w="10780" w:h="15090"/>
          <w:pgMar w:top="1260" w:right="1460" w:bottom="1400" w:left="1480" w:header="989" w:footer="1217"/>
          <w:cols w:space="708"/>
        </w:sectPr>
      </w:pPr>
    </w:p>
    <w:p>
      <w:pPr>
        <w:pStyle w:val="BodyText"/>
        <w:spacing w:before="2"/>
        <w:rPr>
          <w:sz w:val="29"/>
        </w:rPr>
      </w:pPr>
    </w:p>
    <w:p>
      <w:pPr>
        <w:pStyle w:val="BodyText"/>
        <w:spacing w:before="75" w:line="328" w:lineRule="auto"/>
        <w:ind w:left="390" w:right="229" w:firstLine="480"/>
        <w:jc w:val="both"/>
      </w:pPr>
      <w:r>
        <w:rPr>
          <w:color w:val="231F20"/>
          <w:spacing w:val="1"/>
        </w:rPr>
        <w:t>为帮助学生达成对选择性必修课程概念</w:t>
      </w:r>
      <w:r>
        <w:rPr>
          <w:rFonts w:ascii="Times New Roman" w:eastAsia="Times New Roman"/>
          <w:color w:val="231F20"/>
        </w:rPr>
        <w:t>5</w:t>
      </w:r>
      <w:r>
        <w:rPr>
          <w:rFonts w:ascii="Times New Roman" w:eastAsia="Times New Roman"/>
          <w:color w:val="231F20"/>
          <w:spacing w:val="-5"/>
        </w:rPr>
        <w:t xml:space="preserve"> </w:t>
      </w:r>
      <w:r>
        <w:rPr>
          <w:color w:val="231F20"/>
        </w:rPr>
        <w:t>的理解，促进学生生物</w:t>
      </w:r>
      <w:r>
        <w:rPr>
          <w:color w:val="231F20"/>
          <w:spacing w:val="-6"/>
        </w:rPr>
        <w:t>学学科核心素养的提升，应开展下列教学活动：</w:t>
      </w:r>
      <w:r>
        <w:rPr>
          <w:color w:val="231F20"/>
        </w:rPr>
        <w:t>（</w:t>
      </w:r>
      <w:r>
        <w:rPr>
          <w:rFonts w:ascii="Times New Roman" w:eastAsia="Times New Roman"/>
          <w:color w:val="231F20"/>
        </w:rPr>
        <w:t>1</w:t>
      </w:r>
      <w:r>
        <w:rPr>
          <w:color w:val="231F20"/>
          <w:spacing w:val="-61"/>
        </w:rPr>
        <w:t>）</w:t>
      </w:r>
      <w:r>
        <w:rPr>
          <w:rFonts w:ascii="Times New Roman" w:eastAsia="Times New Roman"/>
          <w:color w:val="231F20"/>
          <w:w w:val="99"/>
        </w:rPr>
        <w:t>D</w:t>
      </w:r>
      <w:r>
        <w:rPr>
          <w:rFonts w:ascii="Times New Roman" w:eastAsia="Times New Roman"/>
          <w:color w:val="231F20"/>
          <w:spacing w:val="-9"/>
          <w:w w:val="99"/>
        </w:rPr>
        <w:t>N</w:t>
      </w:r>
      <w:r>
        <w:rPr>
          <w:rFonts w:ascii="Times New Roman" w:eastAsia="Times New Roman"/>
          <w:color w:val="231F20"/>
          <w:w w:val="99"/>
        </w:rPr>
        <w:t>A</w:t>
      </w:r>
      <w:r>
        <w:rPr>
          <w:rFonts w:ascii="Times New Roman" w:eastAsia="Times New Roman"/>
          <w:color w:val="231F20"/>
          <w:spacing w:val="-30"/>
        </w:rPr>
        <w:t xml:space="preserve"> </w:t>
      </w:r>
      <w:r>
        <w:rPr>
          <w:color w:val="231F20"/>
        </w:rPr>
        <w:t>的提取和鉴</w:t>
      </w:r>
      <w:r>
        <w:rPr>
          <w:color w:val="231F20"/>
          <w:spacing w:val="-60"/>
        </w:rPr>
        <w:t>定；</w:t>
      </w:r>
      <w:r>
        <w:rPr>
          <w:color w:val="231F20"/>
        </w:rPr>
        <w:t>（</w:t>
      </w:r>
      <w:r>
        <w:rPr>
          <w:rFonts w:ascii="Times New Roman" w:eastAsia="Times New Roman"/>
          <w:color w:val="231F20"/>
        </w:rPr>
        <w:t>2</w:t>
      </w:r>
      <w:r>
        <w:rPr>
          <w:color w:val="231F20"/>
          <w:spacing w:val="9"/>
        </w:rPr>
        <w:t>）</w:t>
      </w:r>
      <w:r>
        <w:rPr>
          <w:color w:val="231F20"/>
          <w:spacing w:val="8"/>
        </w:rPr>
        <w:t>利用聚合酶链式反应</w:t>
      </w:r>
      <w:r>
        <w:rPr>
          <w:color w:val="231F20"/>
          <w:spacing w:val="-1"/>
        </w:rPr>
        <w:t>（</w:t>
      </w:r>
      <w:r>
        <w:rPr>
          <w:rFonts w:ascii="Times New Roman" w:eastAsia="Times New Roman"/>
          <w:color w:val="231F20"/>
        </w:rPr>
        <w:t>PCR</w:t>
      </w:r>
      <w:r>
        <w:rPr>
          <w:color w:val="231F20"/>
          <w:spacing w:val="9"/>
        </w:rPr>
        <w:t>）</w:t>
      </w:r>
      <w:r>
        <w:rPr>
          <w:color w:val="231F20"/>
          <w:spacing w:val="21"/>
        </w:rPr>
        <w:t>扩增</w:t>
      </w:r>
      <w:r>
        <w:rPr>
          <w:rFonts w:ascii="Times New Roman" w:eastAsia="Times New Roman"/>
          <w:color w:val="231F20"/>
          <w:w w:val="99"/>
        </w:rPr>
        <w:t>D</w:t>
      </w:r>
      <w:r>
        <w:rPr>
          <w:rFonts w:ascii="Times New Roman" w:eastAsia="Times New Roman"/>
          <w:color w:val="231F20"/>
          <w:spacing w:val="-9"/>
          <w:w w:val="99"/>
        </w:rPr>
        <w:t>N</w:t>
      </w:r>
      <w:r>
        <w:rPr>
          <w:rFonts w:ascii="Times New Roman" w:eastAsia="Times New Roman"/>
          <w:color w:val="231F20"/>
          <w:w w:val="99"/>
        </w:rPr>
        <w:t>A</w:t>
      </w:r>
      <w:r>
        <w:rPr>
          <w:rFonts w:ascii="Times New Roman" w:eastAsia="Times New Roman"/>
          <w:color w:val="231F20"/>
          <w:spacing w:val="-27"/>
        </w:rPr>
        <w:t xml:space="preserve"> </w:t>
      </w:r>
      <w:r>
        <w:rPr>
          <w:color w:val="231F20"/>
          <w:spacing w:val="9"/>
        </w:rPr>
        <w:t>片段并完成电泳鉴</w:t>
      </w:r>
      <w:r>
        <w:rPr>
          <w:color w:val="231F20"/>
          <w:spacing w:val="2"/>
        </w:rPr>
        <w:t>定，或运用软件进行虚拟</w:t>
      </w:r>
      <w:r>
        <w:rPr>
          <w:rFonts w:ascii="Times New Roman" w:eastAsia="Times New Roman"/>
          <w:color w:val="231F20"/>
        </w:rPr>
        <w:t>PCR</w:t>
      </w:r>
      <w:r>
        <w:rPr>
          <w:rFonts w:ascii="Times New Roman" w:eastAsia="Times New Roman"/>
          <w:color w:val="231F20"/>
          <w:spacing w:val="-30"/>
        </w:rPr>
        <w:t xml:space="preserve"> </w:t>
      </w:r>
      <w:r>
        <w:rPr>
          <w:color w:val="231F20"/>
        </w:rPr>
        <w:t>实验。</w:t>
      </w:r>
    </w:p>
    <w:p>
      <w:pPr>
        <w:pStyle w:val="BodyText"/>
        <w:spacing w:line="328" w:lineRule="auto"/>
        <w:ind w:left="390" w:right="118" w:firstLine="480"/>
      </w:pPr>
      <w:r>
        <w:rPr>
          <w:color w:val="231F20"/>
        </w:rPr>
        <w:t>为帮助学生达成对选择性必修课程概念</w:t>
      </w:r>
      <w:r>
        <w:rPr>
          <w:rFonts w:ascii="Times New Roman" w:eastAsia="Times New Roman" w:hAnsi="Times New Roman"/>
          <w:color w:val="231F20"/>
        </w:rPr>
        <w:t xml:space="preserve">6 </w:t>
      </w:r>
      <w:r>
        <w:rPr>
          <w:color w:val="231F20"/>
        </w:rPr>
        <w:t>的理解，促进学生生物学学科核心素养的提升，应开展下列教学活动：（</w:t>
      </w:r>
      <w:r>
        <w:rPr>
          <w:rFonts w:ascii="Times New Roman" w:eastAsia="Times New Roman" w:hAnsi="Times New Roman"/>
          <w:color w:val="231F20"/>
        </w:rPr>
        <w:t>1</w:t>
      </w:r>
      <w:r>
        <w:rPr>
          <w:color w:val="231F20"/>
        </w:rPr>
        <w:t>）搜集文献资料，就“转基因食品是否安全”展开辩论；（</w:t>
      </w:r>
      <w:r>
        <w:rPr>
          <w:rFonts w:ascii="Times New Roman" w:eastAsia="Times New Roman" w:hAnsi="Times New Roman"/>
          <w:color w:val="231F20"/>
        </w:rPr>
        <w:t>2</w:t>
      </w:r>
      <w:r>
        <w:rPr>
          <w:color w:val="231F20"/>
        </w:rPr>
        <w:t>）搜集关于设计试管婴儿的资料，并在小组内讨论“是否支持设计试管婴儿”；（</w:t>
      </w:r>
      <w:r>
        <w:rPr>
          <w:rFonts w:ascii="Times New Roman" w:eastAsia="Times New Roman" w:hAnsi="Times New Roman"/>
          <w:color w:val="231F20"/>
        </w:rPr>
        <w:t>3</w:t>
      </w:r>
      <w:r>
        <w:rPr>
          <w:color w:val="231F20"/>
        </w:rPr>
        <w:t>）搜集历史上使用生物武器的资料，并分析其严重危害。</w:t>
      </w:r>
    </w:p>
    <w:p>
      <w:pPr>
        <w:pStyle w:val="BodyText"/>
        <w:rPr>
          <w:sz w:val="32"/>
        </w:rPr>
      </w:pPr>
    </w:p>
    <w:p>
      <w:pPr>
        <w:pStyle w:val="BodyText"/>
        <w:ind w:left="750"/>
      </w:pPr>
      <w:r>
        <w:rPr>
          <w:color w:val="231F20"/>
        </w:rPr>
        <w:t>【学业要求】</w:t>
      </w:r>
    </w:p>
    <w:p>
      <w:pPr>
        <w:pStyle w:val="BodyText"/>
        <w:spacing w:before="111"/>
        <w:ind w:left="870"/>
      </w:pPr>
      <w:r>
        <w:rPr>
          <w:color w:val="231F20"/>
        </w:rPr>
        <w:t>完成本模块学习后，学生应该能够：</w:t>
      </w:r>
    </w:p>
    <w:p>
      <w:pPr>
        <w:pStyle w:val="ListParagraph"/>
        <w:numPr>
          <w:ilvl w:val="3"/>
          <w:numId w:val="23"/>
        </w:numPr>
        <w:tabs>
          <w:tab w:val="left" w:pos="1054"/>
        </w:tabs>
        <w:spacing w:before="113" w:after="0" w:line="328" w:lineRule="auto"/>
        <w:ind w:left="390" w:right="236" w:firstLine="480"/>
        <w:jc w:val="both"/>
        <w:rPr>
          <w:sz w:val="24"/>
        </w:rPr>
      </w:pPr>
      <w:r>
        <w:rPr>
          <w:color w:val="231F20"/>
          <w:sz w:val="24"/>
        </w:rPr>
        <w:t>结合生活或生产实例，举例说出发酵工程、细胞工程和基因工程等生物工程及相关技术的基本原理（生命观念</w:t>
      </w:r>
      <w:r>
        <w:rPr>
          <w:color w:val="231F20"/>
          <w:spacing w:val="-90"/>
          <w:sz w:val="24"/>
        </w:rPr>
        <w:t>）；</w:t>
      </w:r>
    </w:p>
    <w:p>
      <w:pPr>
        <w:pStyle w:val="ListParagraph"/>
        <w:numPr>
          <w:ilvl w:val="3"/>
          <w:numId w:val="23"/>
        </w:numPr>
        <w:tabs>
          <w:tab w:val="left" w:pos="1054"/>
        </w:tabs>
        <w:spacing w:before="0" w:after="0" w:line="328" w:lineRule="auto"/>
        <w:ind w:left="390" w:right="236" w:firstLine="480"/>
        <w:jc w:val="both"/>
        <w:rPr>
          <w:sz w:val="24"/>
        </w:rPr>
      </w:pPr>
      <w:r>
        <w:rPr>
          <w:color w:val="231F20"/>
          <w:sz w:val="24"/>
        </w:rPr>
        <w:t>针对人类生产或生活的某一需求，在发酵工程、细胞工程和基</w:t>
      </w:r>
      <w:r>
        <w:rPr>
          <w:color w:val="231F20"/>
          <w:spacing w:val="-1"/>
          <w:sz w:val="24"/>
        </w:rPr>
        <w:t>因工程中选取恰当的技术和方法，尝试提出初步的工程学构想，进行</w:t>
      </w:r>
      <w:r>
        <w:rPr>
          <w:color w:val="231F20"/>
          <w:sz w:val="24"/>
        </w:rPr>
        <w:t>简单的设计和制作（生命观念、科学探究</w:t>
      </w:r>
      <w:r>
        <w:rPr>
          <w:color w:val="231F20"/>
          <w:spacing w:val="-90"/>
          <w:sz w:val="24"/>
        </w:rPr>
        <w:t>）；</w:t>
      </w:r>
    </w:p>
    <w:p>
      <w:pPr>
        <w:pStyle w:val="ListParagraph"/>
        <w:numPr>
          <w:ilvl w:val="3"/>
          <w:numId w:val="23"/>
        </w:numPr>
        <w:tabs>
          <w:tab w:val="left" w:pos="1063"/>
        </w:tabs>
        <w:spacing w:before="0" w:after="0" w:line="328" w:lineRule="auto"/>
        <w:ind w:left="390" w:right="227" w:firstLine="479"/>
        <w:jc w:val="both"/>
        <w:rPr>
          <w:sz w:val="24"/>
        </w:rPr>
      </w:pPr>
      <w:r>
        <w:rPr>
          <w:color w:val="231F20"/>
          <w:spacing w:val="11"/>
          <w:sz w:val="24"/>
        </w:rPr>
        <w:t>面对日常生活或社会热点话题中与生物技术和工程有关的话</w:t>
      </w:r>
      <w:r>
        <w:rPr>
          <w:color w:val="231F20"/>
          <w:sz w:val="24"/>
        </w:rPr>
        <w:t>题，基于证据运用生物学基本概念和原理，就生物技术与工程的安全与伦理问题表明自己的观点并展开讨论（科学思维、社会责任</w:t>
      </w:r>
      <w:r>
        <w:rPr>
          <w:color w:val="231F20"/>
          <w:spacing w:val="-90"/>
          <w:sz w:val="24"/>
        </w:rPr>
        <w:t>）。</w:t>
      </w:r>
    </w:p>
    <w:p>
      <w:pPr>
        <w:pStyle w:val="BodyText"/>
        <w:rPr>
          <w:sz w:val="26"/>
        </w:rPr>
      </w:pPr>
    </w:p>
    <w:p>
      <w:pPr>
        <w:pStyle w:val="BodyText"/>
        <w:spacing w:before="4"/>
        <w:rPr>
          <w:sz w:val="27"/>
        </w:rPr>
      </w:pPr>
    </w:p>
    <w:p>
      <w:pPr>
        <w:pStyle w:val="Heading2"/>
      </w:pPr>
      <w:r>
        <w:rPr>
          <w:color w:val="231F20"/>
        </w:rPr>
        <w:t>（三）选修课程</w:t>
      </w:r>
    </w:p>
    <w:p>
      <w:pPr>
        <w:pStyle w:val="BodyText"/>
        <w:spacing w:before="2"/>
        <w:rPr>
          <w:sz w:val="39"/>
        </w:rPr>
      </w:pPr>
    </w:p>
    <w:p>
      <w:pPr>
        <w:pStyle w:val="BodyText"/>
        <w:spacing w:line="328" w:lineRule="auto"/>
        <w:ind w:left="390" w:right="238" w:firstLine="480"/>
        <w:jc w:val="both"/>
      </w:pPr>
      <w:r>
        <w:rPr>
          <w:color w:val="231F20"/>
        </w:rPr>
        <w:t>选修课程旨在帮助学生更好地生活、就业，以及满足一部分学生选择从事科学研究的需求。为便于各地区和学校设计有针对性的、适合当地教学条件的选修课程和校本课程，提供课程的选题及设计实施建议如下。</w:t>
      </w:r>
    </w:p>
    <w:p>
      <w:pPr>
        <w:spacing w:after="0" w:line="328" w:lineRule="auto"/>
        <w:jc w:val="both"/>
        <w:sectPr>
          <w:pgSz w:w="10780" w:h="15090"/>
          <w:pgMar w:top="1260" w:right="1460" w:bottom="1400" w:left="1480" w:header="1029" w:footer="1217"/>
          <w:cols w:space="708"/>
        </w:sectPr>
      </w:pPr>
    </w:p>
    <w:p>
      <w:pPr>
        <w:pStyle w:val="BodyText"/>
        <w:spacing w:before="12"/>
        <w:rPr>
          <w:sz w:val="29"/>
        </w:rPr>
      </w:pPr>
    </w:p>
    <w:p>
      <w:pPr>
        <w:pStyle w:val="Heading3"/>
        <w:spacing w:before="71"/>
      </w:pPr>
      <w:r>
        <w:rPr>
          <w:color w:val="231F20"/>
        </w:rPr>
        <w:t>现实生活应用</w:t>
      </w:r>
    </w:p>
    <w:p>
      <w:pPr>
        <w:pStyle w:val="BodyText"/>
        <w:spacing w:before="10"/>
        <w:rPr>
          <w:sz w:val="30"/>
        </w:rPr>
      </w:pPr>
    </w:p>
    <w:p>
      <w:pPr>
        <w:pStyle w:val="ListParagraph"/>
        <w:numPr>
          <w:ilvl w:val="0"/>
          <w:numId w:val="22"/>
        </w:numPr>
        <w:tabs>
          <w:tab w:val="left" w:pos="902"/>
        </w:tabs>
        <w:spacing w:before="0" w:after="0" w:line="240" w:lineRule="auto"/>
        <w:ind w:left="901" w:right="0" w:hanging="202"/>
        <w:jc w:val="left"/>
        <w:rPr>
          <w:sz w:val="24"/>
        </w:rPr>
      </w:pPr>
      <w:r>
        <w:rPr>
          <w:color w:val="231F20"/>
          <w:sz w:val="24"/>
        </w:rPr>
        <w:t>“健康生活”模块开设建议（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220" w:right="287" w:firstLine="480"/>
      </w:pPr>
      <w:r>
        <w:rPr>
          <w:color w:val="231F20"/>
        </w:rPr>
        <w:t>健康是人类全面发展的基础，关系千家万户的幸福。每个人都有维护自身和他人健康的责任，健康的生活方式能够维护和促进自身健康。健康生活是指有益于健康的习惯化的行为方式，具体表现为生活有规律，没有不良嗜好，讲究个人、环境和饮食卫生，讲科学，不迷信，平时注意保健，具备基本的医学常识，生病及时就医， 积极参加有益于健康的文体活动和社会活动等。</w:t>
      </w:r>
    </w:p>
    <w:p>
      <w:pPr>
        <w:pStyle w:val="BodyText"/>
        <w:spacing w:line="328" w:lineRule="auto"/>
        <w:ind w:left="220" w:right="408" w:firstLine="480"/>
        <w:jc w:val="both"/>
      </w:pPr>
      <w:r>
        <w:rPr>
          <w:color w:val="231F20"/>
        </w:rPr>
        <w:t>本模块应选取公民健康生活最基本的知识与技能，涵盖健康生活的基本知识和理念、健康生活方式和行为，以及健康生活的基本技能。具体包括传染病的预防、预防伤害与自救互救、心理健康和精神卫生、学校卫生、口腔卫生、健康生活方式等六个方面的内容。</w:t>
      </w:r>
    </w:p>
    <w:p>
      <w:pPr>
        <w:pStyle w:val="BodyText"/>
        <w:spacing w:line="328" w:lineRule="auto"/>
        <w:ind w:left="220" w:right="408" w:firstLine="480"/>
        <w:jc w:val="both"/>
      </w:pPr>
      <w:r>
        <w:rPr>
          <w:color w:val="231F20"/>
        </w:rPr>
        <w:t>教师要充分认识和理解人民健康是民族昌盛和国家富强的重要标志，明确健康教育是培养合格公民的重要内容，是实施素质教育的基本组成部分。在组织和开展本模块的教学中，可以根据当地实际情况，通过不同的形式和手段组织好相关教学内容，紧密联系实际，创设问题情境，开发学生思维，让学生将学习健康卫生知识同认识社会、解决与社会有关的健康问题结合起来，培养社会责任感。</w:t>
      </w:r>
    </w:p>
    <w:p>
      <w:pPr>
        <w:pStyle w:val="BodyText"/>
        <w:spacing w:line="328" w:lineRule="auto"/>
        <w:ind w:left="220" w:right="408" w:firstLine="480"/>
        <w:jc w:val="both"/>
      </w:pPr>
      <w:r>
        <w:rPr>
          <w:color w:val="231F20"/>
          <w:spacing w:val="-1"/>
        </w:rPr>
        <w:t>对本模块的学习，有助于学生获得健康生活的知识，形成正确的态度、认识和行为习惯，树立尊重生命、热爱生活的人生观，改善公</w:t>
      </w:r>
      <w:r>
        <w:rPr>
          <w:color w:val="231F20"/>
        </w:rPr>
        <w:t>民个体的健康状况，进而促进整个社会的健康发展。</w:t>
      </w:r>
    </w:p>
    <w:p>
      <w:pPr>
        <w:pStyle w:val="BodyText"/>
        <w:spacing w:before="9"/>
        <w:rPr>
          <w:sz w:val="23"/>
        </w:rPr>
      </w:pPr>
    </w:p>
    <w:p>
      <w:pPr>
        <w:pStyle w:val="ListParagraph"/>
        <w:numPr>
          <w:ilvl w:val="0"/>
          <w:numId w:val="22"/>
        </w:numPr>
        <w:tabs>
          <w:tab w:val="left" w:pos="902"/>
        </w:tabs>
        <w:spacing w:before="1" w:after="0" w:line="240" w:lineRule="auto"/>
        <w:ind w:left="901" w:right="0" w:hanging="202"/>
        <w:jc w:val="both"/>
        <w:rPr>
          <w:sz w:val="24"/>
        </w:rPr>
      </w:pPr>
      <w:r>
        <w:rPr>
          <w:color w:val="231F20"/>
          <w:sz w:val="24"/>
        </w:rPr>
        <w:t>“急救措施”模块开设建议（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220" w:right="408" w:firstLine="480"/>
        <w:jc w:val="both"/>
      </w:pPr>
      <w:r>
        <w:rPr>
          <w:color w:val="231F20"/>
        </w:rPr>
        <w:t>随着经济的发展，社会的进步，人们的健康意识明显提高。各种急危重症、意外伤害时有发生，威胁着人们的健康和生命，意外伤害已成为危害人类健康的全球性公共卫生问题。急救知识的普及，可以使公众掌握正确的急救知识，一旦发生意外情况能积极有效地开展现</w:t>
      </w:r>
    </w:p>
    <w:p>
      <w:pPr>
        <w:spacing w:after="0" w:line="328" w:lineRule="auto"/>
        <w:jc w:val="both"/>
        <w:sectPr>
          <w:pgSz w:w="10780" w:h="15090"/>
          <w:pgMar w:top="1260" w:right="1460" w:bottom="1400" w:left="1480" w:header="989" w:footer="1217"/>
          <w:cols w:space="708"/>
        </w:sectPr>
      </w:pPr>
    </w:p>
    <w:p>
      <w:pPr>
        <w:pStyle w:val="BodyText"/>
        <w:spacing w:before="10"/>
        <w:rPr>
          <w:sz w:val="29"/>
        </w:rPr>
      </w:pPr>
    </w:p>
    <w:p>
      <w:pPr>
        <w:pStyle w:val="BodyText"/>
        <w:spacing w:before="67" w:line="328" w:lineRule="auto"/>
        <w:ind w:left="870" w:right="238" w:hanging="480"/>
      </w:pPr>
      <w:r>
        <w:rPr>
          <w:color w:val="231F20"/>
        </w:rPr>
        <w:t xml:space="preserve">场自救互救，从而为患者赢得宝贵的抢救时机，提高抢救成功率。 </w:t>
      </w:r>
      <w:r>
        <w:rPr>
          <w:color w:val="231F20"/>
          <w:spacing w:val="-1"/>
        </w:rPr>
        <w:t>本模块内容包括紧急情况下公民必备的最基本的医疗急救措施知</w:t>
      </w:r>
    </w:p>
    <w:p>
      <w:pPr>
        <w:pStyle w:val="BodyText"/>
        <w:spacing w:line="328" w:lineRule="auto"/>
        <w:ind w:left="390" w:right="238"/>
        <w:jc w:val="both"/>
      </w:pPr>
      <w:r>
        <w:rPr>
          <w:color w:val="231F20"/>
          <w:spacing w:val="-8"/>
        </w:rPr>
        <w:t>识与技能，如常用急救药物的使用、“</w:t>
      </w:r>
      <w:r>
        <w:rPr>
          <w:rFonts w:ascii="Times New Roman" w:eastAsia="Times New Roman" w:hAnsi="Times New Roman"/>
          <w:color w:val="231F20"/>
        </w:rPr>
        <w:t>120</w:t>
      </w:r>
      <w:r>
        <w:rPr>
          <w:color w:val="231F20"/>
          <w:spacing w:val="-2"/>
        </w:rPr>
        <w:t>”紧急呼叫、心肺复苏、外</w:t>
      </w:r>
      <w:r>
        <w:rPr>
          <w:color w:val="231F20"/>
          <w:spacing w:val="-1"/>
        </w:rPr>
        <w:t>伤止血、游泳意外的自救、动物咬伤后的处理、煤气中毒后的自救与</w:t>
      </w:r>
      <w:r>
        <w:rPr>
          <w:color w:val="231F20"/>
        </w:rPr>
        <w:t>互救等方面的内容。</w:t>
      </w:r>
    </w:p>
    <w:p>
      <w:pPr>
        <w:pStyle w:val="BodyText"/>
        <w:spacing w:line="328" w:lineRule="auto"/>
        <w:ind w:left="390" w:right="238" w:firstLine="480"/>
        <w:jc w:val="both"/>
      </w:pPr>
      <w:r>
        <w:rPr>
          <w:color w:val="231F20"/>
        </w:rPr>
        <w:t>教师应明确普及急救知识对学生的重要意义，应结合当地的具体情况，尽可能选择具有地方特点、适合学生的年龄特征、与学生日常生活关系比较密切的内容。这样，学生容易将所学的知识与发生的突发事件联系起来，对学习内容产生深刻印象。通过教学，应使学生了解急救基础知识，在遇到突发事件时能从容应对。</w:t>
      </w:r>
    </w:p>
    <w:p>
      <w:pPr>
        <w:pStyle w:val="BodyText"/>
        <w:spacing w:line="328" w:lineRule="auto"/>
        <w:ind w:left="390" w:right="238" w:firstLine="480"/>
      </w:pPr>
      <w:r>
        <w:rPr>
          <w:color w:val="231F20"/>
        </w:rPr>
        <w:t>对本模块的学习，可以使学生意识到急救措施在日常生活中的重要性，帮助学生初步掌握应对常见的突发伤害事件的急救处理方法。</w:t>
      </w:r>
    </w:p>
    <w:p>
      <w:pPr>
        <w:pStyle w:val="BodyText"/>
        <w:spacing w:before="6"/>
      </w:pPr>
    </w:p>
    <w:p>
      <w:pPr>
        <w:pStyle w:val="ListParagraph"/>
        <w:numPr>
          <w:ilvl w:val="0"/>
          <w:numId w:val="22"/>
        </w:numPr>
        <w:tabs>
          <w:tab w:val="left" w:pos="1072"/>
        </w:tabs>
        <w:spacing w:before="0" w:after="0" w:line="240" w:lineRule="auto"/>
        <w:ind w:left="1071" w:right="0" w:hanging="202"/>
        <w:jc w:val="left"/>
        <w:rPr>
          <w:sz w:val="24"/>
        </w:rPr>
      </w:pPr>
      <w:r>
        <w:rPr>
          <w:color w:val="231F20"/>
          <w:sz w:val="24"/>
        </w:rPr>
        <w:t>“传染病与防控”模块开设建议（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390" w:right="117" w:firstLine="480"/>
        <w:jc w:val="right"/>
      </w:pPr>
      <w:r>
        <w:rPr>
          <w:color w:val="231F20"/>
          <w:spacing w:val="-2"/>
        </w:rPr>
        <w:t>传染病是指由各种病原体引起的，能在人与人、动物与动物或人</w:t>
      </w:r>
      <w:r>
        <w:rPr>
          <w:color w:val="231F20"/>
          <w:spacing w:val="-9"/>
        </w:rPr>
        <w:t>与动物之间相互传播的疾病。传染病的流行极大地影响了人类文明的进</w:t>
      </w:r>
      <w:r>
        <w:rPr>
          <w:color w:val="231F20"/>
          <w:spacing w:val="-10"/>
        </w:rPr>
        <w:t>程：一方面，传染病的大流行曾造成人类大规模的死亡，改变国家和民族的命运；另一方面，与传染病的斗争促进了人类防疫事业的发展。</w:t>
      </w:r>
      <w:r>
        <w:rPr>
          <w:color w:val="231F20"/>
          <w:spacing w:val="1"/>
        </w:rPr>
        <w:t>本模块包括传染源与感染、传播途径、传染病的防控三个部分。</w:t>
      </w:r>
    </w:p>
    <w:p>
      <w:pPr>
        <w:pStyle w:val="BodyText"/>
        <w:spacing w:line="328" w:lineRule="auto"/>
        <w:ind w:left="390" w:right="238"/>
        <w:jc w:val="both"/>
      </w:pPr>
      <w:r>
        <w:rPr>
          <w:color w:val="231F20"/>
        </w:rPr>
        <w:t>课程内容应以传染病的核心概念以及传染的机理为基础，进而让学生学习传染病防控的知识，了解传染病的特征及其传播流行的途径，全球以及我国防疫体系的组成，传染病流行期间的个人日常防护，以及传染病预防措施与检测、相关病原体的消毒灭菌工作等流程和基本技术，形成“防控并重”的观念。</w:t>
      </w:r>
    </w:p>
    <w:p>
      <w:pPr>
        <w:pStyle w:val="BodyText"/>
        <w:spacing w:line="328" w:lineRule="auto"/>
        <w:ind w:left="390" w:right="119" w:firstLine="480"/>
        <w:jc w:val="both"/>
      </w:pPr>
      <w:r>
        <w:rPr>
          <w:color w:val="231F20"/>
          <w:spacing w:val="22"/>
        </w:rPr>
        <w:t>教师在教学活动中要通过案例，让学生掌握“病原体</w:t>
      </w:r>
      <w:r>
        <w:rPr>
          <w:color w:val="231F20"/>
          <w:spacing w:val="-23"/>
        </w:rPr>
        <w:t>”“感</w:t>
      </w:r>
      <w:r>
        <w:rPr>
          <w:color w:val="231F20"/>
          <w:spacing w:val="-17"/>
        </w:rPr>
        <w:t>染”“传染源”“传染”等重要概念的内涵和区别，重点介绍对人类影响巨大的传染病案例，如鼠疫、天花、艾滋病、严重急性呼吸系统综</w:t>
      </w:r>
      <w:r>
        <w:rPr>
          <w:color w:val="231F20"/>
          <w:spacing w:val="3"/>
        </w:rPr>
        <w:t>合征</w:t>
      </w:r>
      <w:r>
        <w:rPr>
          <w:color w:val="231F20"/>
        </w:rPr>
        <w:t>（</w:t>
      </w:r>
      <w:r>
        <w:rPr>
          <w:rFonts w:ascii="Times New Roman" w:eastAsia="Times New Roman" w:hAnsi="Times New Roman"/>
          <w:color w:val="231F20"/>
        </w:rPr>
        <w:t>SARS</w:t>
      </w:r>
      <w:r>
        <w:rPr>
          <w:color w:val="231F20"/>
        </w:rPr>
        <w:t>）</w:t>
      </w:r>
      <w:r>
        <w:rPr>
          <w:color w:val="231F20"/>
          <w:spacing w:val="6"/>
        </w:rPr>
        <w:t>和新型冠状病毒肺炎</w:t>
      </w:r>
      <w:r>
        <w:rPr>
          <w:color w:val="231F20"/>
        </w:rPr>
        <w:t>（</w:t>
      </w:r>
      <w:r>
        <w:rPr>
          <w:rFonts w:ascii="Times New Roman" w:eastAsia="Times New Roman" w:hAnsi="Times New Roman"/>
          <w:color w:val="231F20"/>
        </w:rPr>
        <w:t>COVID-19</w:t>
      </w:r>
      <w:r>
        <w:rPr>
          <w:color w:val="231F20"/>
        </w:rPr>
        <w:t>）</w:t>
      </w:r>
      <w:r>
        <w:rPr>
          <w:color w:val="231F20"/>
          <w:spacing w:val="5"/>
        </w:rPr>
        <w:t>等的流行及防控；</w:t>
      </w:r>
    </w:p>
    <w:p>
      <w:pPr>
        <w:spacing w:after="0" w:line="328" w:lineRule="auto"/>
        <w:jc w:val="both"/>
        <w:sectPr>
          <w:pgSz w:w="10780" w:h="15090"/>
          <w:pgMar w:top="1260" w:right="1460" w:bottom="1400" w:left="1480" w:header="1029" w:footer="1217"/>
          <w:cols w:space="708"/>
        </w:sectPr>
      </w:pPr>
    </w:p>
    <w:p>
      <w:pPr>
        <w:pStyle w:val="BodyText"/>
        <w:rPr>
          <w:sz w:val="20"/>
        </w:rPr>
      </w:pPr>
    </w:p>
    <w:p>
      <w:pPr>
        <w:pStyle w:val="BodyText"/>
        <w:spacing w:before="203" w:line="328" w:lineRule="auto"/>
        <w:ind w:left="100" w:right="397" w:firstLine="120"/>
        <w:jc w:val="both"/>
      </w:pPr>
      <w:r>
        <w:rPr>
          <w:color w:val="231F20"/>
        </w:rPr>
        <w:t>应充分利用传染病案例，组织学生的探究性学习，并开展模拟传染病防控的教学活动，使学生在掌握相关知识的同时，认同“地球村”及“人类命运共同体”的观念；要通过参观当地疾病预防控制单位，介绍我国自</w:t>
      </w:r>
      <w:r>
        <w:rPr>
          <w:rFonts w:ascii="Times New Roman" w:eastAsia="Times New Roman" w:hAnsi="Times New Roman"/>
          <w:color w:val="231F20"/>
        </w:rPr>
        <w:t xml:space="preserve">1949 </w:t>
      </w:r>
      <w:r>
        <w:rPr>
          <w:color w:val="231F20"/>
        </w:rPr>
        <w:t>年以来流行病防控所取得的巨大成就等，增强学生的爱国信念，帮助学生了解我国的防疫体系，体会社会主义制度的优越性；鼓励学生通过互联网、书刊等渠道主动收集传染病及其防控的相关资料，并开展交流活动。</w:t>
      </w:r>
    </w:p>
    <w:p>
      <w:pPr>
        <w:pStyle w:val="BodyText"/>
        <w:spacing w:line="328" w:lineRule="auto"/>
        <w:ind w:left="220" w:right="409" w:firstLine="480"/>
      </w:pPr>
      <w:r>
        <w:rPr>
          <w:color w:val="231F20"/>
        </w:rPr>
        <w:t>对本模块的学习，可以使学生认识到传染病的预防对人类社会和经济发展的重要性，帮助学生初步掌握传染病防控的基本方法。</w:t>
      </w:r>
    </w:p>
    <w:p>
      <w:pPr>
        <w:pStyle w:val="BodyText"/>
        <w:spacing w:before="9"/>
      </w:pPr>
    </w:p>
    <w:p>
      <w:pPr>
        <w:pStyle w:val="ListParagraph"/>
        <w:numPr>
          <w:ilvl w:val="0"/>
          <w:numId w:val="22"/>
        </w:numPr>
        <w:tabs>
          <w:tab w:val="left" w:pos="902"/>
        </w:tabs>
        <w:spacing w:before="1" w:after="0" w:line="240" w:lineRule="auto"/>
        <w:ind w:left="901" w:right="0" w:hanging="202"/>
        <w:jc w:val="both"/>
        <w:rPr>
          <w:sz w:val="24"/>
        </w:rPr>
      </w:pPr>
      <w:r>
        <w:rPr>
          <w:color w:val="231F20"/>
          <w:sz w:val="24"/>
        </w:rPr>
        <w:t>“社会热点中的生物学问题”模块开设建议（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220" w:right="402" w:firstLine="480"/>
        <w:jc w:val="both"/>
      </w:pPr>
      <w:r>
        <w:rPr>
          <w:rFonts w:ascii="Times New Roman" w:eastAsia="Times New Roman"/>
          <w:color w:val="231F20"/>
        </w:rPr>
        <w:t xml:space="preserve">20 </w:t>
      </w:r>
      <w:r>
        <w:rPr>
          <w:color w:val="231F20"/>
        </w:rPr>
        <w:t>世纪下半叶以来，生物学科进入飞速发展的时代，取得无数新成果，其中有些成了社会大众关注的热点问题。与此同时，人类社会还面临一些传染病的严峻考验。</w:t>
      </w:r>
    </w:p>
    <w:p>
      <w:pPr>
        <w:pStyle w:val="BodyText"/>
        <w:spacing w:line="328" w:lineRule="auto"/>
        <w:ind w:left="220" w:right="398" w:firstLine="480"/>
        <w:jc w:val="both"/>
      </w:pPr>
      <w:r>
        <w:rPr>
          <w:color w:val="231F20"/>
        </w:rPr>
        <w:t>本模块选取转基因植物、试管婴儿、克隆哺乳动物、艾滋病、禽流感、</w:t>
      </w:r>
      <w:r>
        <w:rPr>
          <w:rFonts w:ascii="Times New Roman" w:eastAsia="Times New Roman"/>
          <w:color w:val="231F20"/>
        </w:rPr>
        <w:t>SARS</w:t>
      </w:r>
      <w:r>
        <w:rPr>
          <w:color w:val="231F20"/>
        </w:rPr>
        <w:t>、埃博拉疫情以及</w:t>
      </w:r>
      <w:r>
        <w:rPr>
          <w:rFonts w:ascii="Times New Roman" w:eastAsia="Times New Roman"/>
          <w:color w:val="231F20"/>
        </w:rPr>
        <w:t xml:space="preserve">COVID-19 </w:t>
      </w:r>
      <w:r>
        <w:rPr>
          <w:color w:val="231F20"/>
        </w:rPr>
        <w:t>等主题加以论述，旨在向广大学生传递正确的科学知识，有助于他们理性、客观地面对相关的社会议题，为今后继续深造和走上社会奠定必要的基础。</w:t>
      </w:r>
    </w:p>
    <w:p>
      <w:pPr>
        <w:pStyle w:val="BodyText"/>
        <w:spacing w:line="328" w:lineRule="auto"/>
        <w:ind w:left="220" w:right="409" w:firstLine="480"/>
        <w:jc w:val="both"/>
      </w:pPr>
      <w:r>
        <w:rPr>
          <w:color w:val="231F20"/>
        </w:rPr>
        <w:t>教师在教学中要注意引导学生掌握国家的政策、法规，从主流媒体获取正确的资料和信息，了解相关的原理和主要技术路线，结合已有知识和我国的国情，以辩证唯物主义史观，分别从各专题的学科进展及争议焦点和有待改进之处展开讨论或辩论，丰富相关学识，加深对科学、技术、社会相互关系的认识。</w:t>
      </w:r>
    </w:p>
    <w:p>
      <w:pPr>
        <w:pStyle w:val="BodyText"/>
        <w:spacing w:line="328" w:lineRule="auto"/>
        <w:ind w:left="220" w:right="409" w:firstLine="480"/>
      </w:pPr>
      <w:r>
        <w:rPr>
          <w:color w:val="231F20"/>
        </w:rPr>
        <w:t>对本模块的学习，有利于学生正确、客观地认识生物技术所取得的成就，提高预防传染病的意识，实现健康生活的目的。</w:t>
      </w:r>
    </w:p>
    <w:p>
      <w:pPr>
        <w:pStyle w:val="BodyText"/>
        <w:spacing w:before="3"/>
      </w:pPr>
    </w:p>
    <w:p>
      <w:pPr>
        <w:pStyle w:val="ListParagraph"/>
        <w:numPr>
          <w:ilvl w:val="0"/>
          <w:numId w:val="22"/>
        </w:numPr>
        <w:tabs>
          <w:tab w:val="left" w:pos="902"/>
        </w:tabs>
        <w:spacing w:before="1" w:after="0" w:line="240" w:lineRule="auto"/>
        <w:ind w:left="901" w:right="0" w:hanging="202"/>
        <w:jc w:val="both"/>
        <w:rPr>
          <w:sz w:val="24"/>
        </w:rPr>
      </w:pPr>
      <w:r>
        <w:rPr>
          <w:color w:val="231F20"/>
          <w:sz w:val="24"/>
        </w:rPr>
        <w:t>“动物福利”模块开设建议（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ind w:left="700"/>
      </w:pPr>
      <w:r>
        <w:rPr>
          <w:color w:val="231F20"/>
        </w:rPr>
        <w:t>浩瀚宇宙之中，动物和人类共同分享着一个地球，文明、人道地</w:t>
      </w:r>
    </w:p>
    <w:p>
      <w:pPr>
        <w:spacing w:after="0"/>
        <w:sectPr>
          <w:pgSz w:w="10780" w:h="15090"/>
          <w:pgMar w:top="1260" w:right="1460" w:bottom="1400" w:left="1480" w:header="989" w:footer="1217"/>
          <w:cols w:space="708"/>
        </w:sectPr>
      </w:pPr>
    </w:p>
    <w:p>
      <w:pPr>
        <w:pStyle w:val="BodyText"/>
        <w:spacing w:before="10"/>
        <w:rPr>
          <w:sz w:val="29"/>
        </w:rPr>
      </w:pPr>
    </w:p>
    <w:p>
      <w:pPr>
        <w:pStyle w:val="BodyText"/>
        <w:spacing w:before="67" w:line="328" w:lineRule="auto"/>
        <w:ind w:left="390" w:right="120"/>
      </w:pPr>
      <w:r>
        <w:rPr>
          <w:color w:val="231F20"/>
        </w:rPr>
        <w:t>对待动物本质上也与人类自身的利益息息相关。动物福利指动物处于基本需求得到满足，痛苦被降至最低的状态。世界上已有一百多个国家和地区制定实施了旨在保护动物福利的法律法规，而我国动物福利的教育才刚刚起步。随着社会上一些虐待和残害动物的事件被陆续曝光，动物福利也成为一个备受公众关注的话题。在生物学课程体系中进行动物福利教育，对于普及动物福利理念，培养学生尊重生命、关爱动物的价值观有重要意义，对于发展学生的生物学学科核心素养， 落实立德树人目标有着积极的意义。动物福利是校本课程的一个适宜的选题。</w:t>
      </w:r>
    </w:p>
    <w:p>
      <w:pPr>
        <w:pStyle w:val="BodyText"/>
        <w:spacing w:line="328" w:lineRule="auto"/>
        <w:ind w:left="390" w:right="230" w:firstLine="480"/>
        <w:jc w:val="both"/>
      </w:pPr>
      <w:r>
        <w:rPr>
          <w:color w:val="231F20"/>
        </w:rPr>
        <w:t>动物福利模块的主要目标在于促进学生形成尊重生命、关爱动物的态度和价值观，同时向学生传递与动物福利相关的基本知识与观点，并培养学生参与社会议题讨论和实践的能力。课程内容可以包括动物与人类的关系、动物福利的概念和认识、动物福利的评估、动物福利立法、动物福利与伦理道德，以及伴侣动物、野生动物、农场动物、实验室动物和动物园动物的福利等。</w:t>
      </w:r>
    </w:p>
    <w:p>
      <w:pPr>
        <w:pStyle w:val="BodyText"/>
        <w:spacing w:line="328" w:lineRule="auto"/>
        <w:ind w:left="390" w:right="238" w:firstLine="480"/>
        <w:jc w:val="both"/>
      </w:pPr>
      <w:r>
        <w:rPr>
          <w:color w:val="231F20"/>
        </w:rPr>
        <w:t>教学中，教师可以结合本地课程资源设计和开展学习活动，如野生动物救助站、流浪动物救助中心、家禽养殖场等；也可以从社会高度关注的问题深入主题，如实验动物福利标准问题，饲养、运输和疾病处理过程中动物福利的问题，滥食、虐食动物的现象，残害动物的暴力行为等。教师要帮助学生理解动物福利的内容，体会动物福利立法的必要性。同时，教师也要让学生认识到，动物福利的立法要与社会的经济水平和文明程度相适应。动物福利过高，会给生产者或动物的主人带来过重的负担，造成浪费，因此，讨论动物福利需要兼顾动物利益和人类利益的平衡。</w:t>
      </w:r>
    </w:p>
    <w:p>
      <w:pPr>
        <w:pStyle w:val="BodyText"/>
        <w:spacing w:before="4"/>
        <w:rPr>
          <w:sz w:val="23"/>
        </w:rPr>
      </w:pPr>
    </w:p>
    <w:p>
      <w:pPr>
        <w:pStyle w:val="ListParagraph"/>
        <w:numPr>
          <w:ilvl w:val="0"/>
          <w:numId w:val="22"/>
        </w:numPr>
        <w:tabs>
          <w:tab w:val="left" w:pos="1072"/>
        </w:tabs>
        <w:spacing w:before="0" w:after="0" w:line="240" w:lineRule="auto"/>
        <w:ind w:left="1071" w:right="0" w:hanging="202"/>
        <w:jc w:val="left"/>
        <w:rPr>
          <w:sz w:val="24"/>
        </w:rPr>
      </w:pPr>
      <w:r>
        <w:rPr>
          <w:color w:val="231F20"/>
          <w:sz w:val="24"/>
        </w:rPr>
        <w:t>“外来生物入侵与防控”模块开设建议（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390" w:right="238" w:firstLine="480"/>
      </w:pPr>
      <w:r>
        <w:rPr>
          <w:color w:val="231F20"/>
        </w:rPr>
        <w:t>一种生物如果由于人为或自然的原因由其原产地迁移到异地，并经自然选择后逐渐繁衍开来，打破当地的生态平衡，威胁当地生物多</w:t>
      </w:r>
    </w:p>
    <w:p>
      <w:pPr>
        <w:spacing w:after="0" w:line="328" w:lineRule="auto"/>
        <w:sectPr>
          <w:pgSz w:w="10780" w:h="15090"/>
          <w:pgMar w:top="1260" w:right="1460" w:bottom="1400" w:left="1480" w:header="1029" w:footer="1217"/>
          <w:cols w:space="708"/>
        </w:sectPr>
      </w:pPr>
    </w:p>
    <w:p>
      <w:pPr>
        <w:pStyle w:val="BodyText"/>
        <w:rPr>
          <w:sz w:val="20"/>
        </w:rPr>
      </w:pPr>
    </w:p>
    <w:p>
      <w:pPr>
        <w:pStyle w:val="BodyText"/>
        <w:spacing w:before="203" w:line="328" w:lineRule="auto"/>
        <w:ind w:left="220" w:right="399"/>
        <w:jc w:val="both"/>
      </w:pPr>
      <w:r>
        <w:rPr>
          <w:color w:val="231F20"/>
        </w:rPr>
        <w:t>样性，造成严重生态恶果，即形成生物入侵。伴随着人类活动日益加剧，世界范围内的生物入侵现象愈演愈烈，已经对各国的经济、社会、民生以及环境造成了难以挽回的重大损失。</w:t>
      </w:r>
    </w:p>
    <w:p>
      <w:pPr>
        <w:pStyle w:val="BodyText"/>
        <w:spacing w:line="328" w:lineRule="auto"/>
        <w:ind w:left="220" w:right="288" w:firstLine="480"/>
      </w:pPr>
      <w:r>
        <w:rPr>
          <w:color w:val="231F20"/>
        </w:rPr>
        <w:t>本模块内容应包括世界及我国主要的生物入侵种类、入侵途径、生物入侵对生物圈和生态系统造成的危害，以及应对生物入侵可采取的各种措施。</w:t>
      </w:r>
    </w:p>
    <w:p>
      <w:pPr>
        <w:pStyle w:val="BodyText"/>
        <w:spacing w:line="328" w:lineRule="auto"/>
        <w:ind w:left="220" w:right="408" w:firstLine="480"/>
        <w:jc w:val="both"/>
      </w:pPr>
      <w:r>
        <w:rPr>
          <w:color w:val="231F20"/>
        </w:rPr>
        <w:t>教师在实施教学时可引用具体案例引导学生理解生物入侵的概念。建议调查外来生物入侵本地的基本情况，对其危害程度作出初步评估，从而帮助学生提高对生物入侵危害性的认识，并提出一些阻止外来生物进一步危害本地生态系统的措施和建议。</w:t>
      </w:r>
    </w:p>
    <w:p>
      <w:pPr>
        <w:pStyle w:val="BodyText"/>
        <w:spacing w:line="328" w:lineRule="auto"/>
        <w:ind w:left="220" w:right="288" w:firstLine="480"/>
      </w:pPr>
      <w:r>
        <w:rPr>
          <w:color w:val="231F20"/>
        </w:rPr>
        <w:t>本模块的学习，有利于帮助学生认识生物入侵的概念、途径和危害性，树立生物与生物、生物与环境、人类与环境和谐发展的意识， 提高保护生物多样性和保护环境的自觉性。</w:t>
      </w:r>
    </w:p>
    <w:p>
      <w:pPr>
        <w:pStyle w:val="BodyText"/>
        <w:spacing w:before="4"/>
      </w:pPr>
    </w:p>
    <w:p>
      <w:pPr>
        <w:pStyle w:val="ListParagraph"/>
        <w:numPr>
          <w:ilvl w:val="0"/>
          <w:numId w:val="22"/>
        </w:numPr>
        <w:tabs>
          <w:tab w:val="left" w:pos="902"/>
        </w:tabs>
        <w:spacing w:before="1" w:after="0" w:line="240" w:lineRule="auto"/>
        <w:ind w:left="901" w:right="0" w:hanging="202"/>
        <w:jc w:val="both"/>
        <w:rPr>
          <w:sz w:val="24"/>
        </w:rPr>
      </w:pPr>
      <w:r>
        <w:rPr>
          <w:color w:val="231F20"/>
          <w:sz w:val="24"/>
        </w:rPr>
        <w:t>“地方特色动植物研究”模块开设建议（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220" w:right="408" w:firstLine="480"/>
        <w:jc w:val="both"/>
      </w:pPr>
      <w:r>
        <w:rPr>
          <w:color w:val="231F20"/>
        </w:rPr>
        <w:t>纵观人类历史发展可知，动植物资源是人类社会发展的重要物质资源，人类的物质生活和精神生活都离不开动植物资源。各地具有地方特色的野生动植物不仅具有重要的经济、科学、生态、文化及美学等方面的价值，也大大丰富了人类的文化生活。因此，开展对地方特色动植物的研究不仅是为了合理配置和利用野生动植物资源，更重要的是通过了解当地野生动植物资源的现状，培养人与自然和谐相处的意识，充分认识环境保护与可持续发展、改善人类的物质生活和文化生活的意义。</w:t>
      </w:r>
    </w:p>
    <w:p>
      <w:pPr>
        <w:pStyle w:val="BodyText"/>
        <w:spacing w:line="328" w:lineRule="auto"/>
        <w:ind w:left="220" w:right="408" w:firstLine="480"/>
        <w:jc w:val="both"/>
      </w:pPr>
      <w:r>
        <w:rPr>
          <w:color w:val="231F20"/>
        </w:rPr>
        <w:t>由于不同地域所具有的地理环境、气候条件、经济水平等都各不相同，在教学中应注意收集具有地方特色的动植物资源内容，以当地具有地方特色的动植物为主要研究对象。课程内容可以包括当地动植物的分类、动植物的生长与繁殖、动植物与环境的关系、动植物资源的开发与利用等。</w:t>
      </w:r>
    </w:p>
    <w:p>
      <w:pPr>
        <w:spacing w:after="0" w:line="328" w:lineRule="auto"/>
        <w:jc w:val="both"/>
        <w:sectPr>
          <w:pgSz w:w="10780" w:h="15090"/>
          <w:pgMar w:top="1260" w:right="1460" w:bottom="1400" w:left="1480" w:header="989" w:footer="1217"/>
          <w:cols w:space="708"/>
        </w:sectPr>
      </w:pPr>
    </w:p>
    <w:p>
      <w:pPr>
        <w:pStyle w:val="BodyText"/>
        <w:spacing w:before="10"/>
        <w:rPr>
          <w:sz w:val="29"/>
        </w:rPr>
      </w:pPr>
    </w:p>
    <w:p>
      <w:pPr>
        <w:pStyle w:val="BodyText"/>
        <w:spacing w:before="67" w:line="328" w:lineRule="auto"/>
        <w:ind w:left="390" w:right="120" w:firstLine="480"/>
      </w:pPr>
      <w:r>
        <w:rPr>
          <w:color w:val="231F20"/>
        </w:rPr>
        <w:t>教学应以培养学生实践能力为宗旨，除了培养学生掌握扎实的动植物学科知识，更重要的是培养学生自主探究学习的意识和能力，掌握当地动植物资源研究的方法，认识其利用价值。教学形式应多样。例如，通过参观调查，引导学生关注家乡的动植物资源与环境变迁， 激发热爱家乡、建设家乡的热情；通过实践探究，培养学生了解动植物资源开发的相关技能，掌握科学探究的基本过程和方法；通过家乡动植物资源的调查，培养学生搜集信息、处理信息的能力。在选择具体的内容时，侧重于选择学生常见的、具有地方特色的动植物资源内容，以便于他们将所学的知识与现实生活联系起来，对学习内容产生兴趣。</w:t>
      </w:r>
    </w:p>
    <w:p>
      <w:pPr>
        <w:pStyle w:val="BodyText"/>
        <w:spacing w:line="328" w:lineRule="auto"/>
        <w:ind w:left="390" w:right="118" w:firstLine="480"/>
      </w:pPr>
      <w:r>
        <w:rPr>
          <w:color w:val="231F20"/>
          <w:spacing w:val="1"/>
        </w:rPr>
        <w:t>对本模块的学习，可以使学生了解地方动植物资源的分布特点， 以及它们的生态价值、经济价值和社会价值，学会把所学知识应用于生产实践，提高理论与实践结合的能力，培养关心家乡建设、服务家乡经济发展的情感。</w:t>
      </w:r>
    </w:p>
    <w:p>
      <w:pPr>
        <w:pStyle w:val="BodyText"/>
        <w:spacing w:before="12"/>
        <w:rPr>
          <w:sz w:val="23"/>
        </w:rPr>
      </w:pPr>
    </w:p>
    <w:p>
      <w:pPr>
        <w:pStyle w:val="Heading3"/>
        <w:ind w:left="870"/>
      </w:pPr>
      <w:r>
        <w:rPr>
          <w:color w:val="231F20"/>
        </w:rPr>
        <w:t>职业规划前瞻</w:t>
      </w:r>
    </w:p>
    <w:p>
      <w:pPr>
        <w:pStyle w:val="BodyText"/>
        <w:spacing w:before="10"/>
        <w:rPr>
          <w:sz w:val="30"/>
        </w:rPr>
      </w:pPr>
    </w:p>
    <w:p>
      <w:pPr>
        <w:pStyle w:val="ListParagraph"/>
        <w:numPr>
          <w:ilvl w:val="1"/>
          <w:numId w:val="22"/>
        </w:numPr>
        <w:tabs>
          <w:tab w:val="left" w:pos="1072"/>
        </w:tabs>
        <w:spacing w:before="0" w:after="0" w:line="240" w:lineRule="auto"/>
        <w:ind w:left="1071" w:right="0" w:hanging="202"/>
        <w:jc w:val="both"/>
        <w:rPr>
          <w:sz w:val="24"/>
        </w:rPr>
      </w:pPr>
      <w:r>
        <w:rPr>
          <w:color w:val="231F20"/>
          <w:sz w:val="24"/>
        </w:rPr>
        <w:t>“生物制药”模块开设建议（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390" w:right="238" w:firstLine="480"/>
        <w:jc w:val="both"/>
      </w:pPr>
      <w:r>
        <w:rPr>
          <w:color w:val="231F20"/>
        </w:rPr>
        <w:t>生物制药是药物学的一部分，是指运用微生物学、基因工程和化学等技术，通过生物活体来生产药物的学科。药物学是指研究药物的来源、炮制、性状和作用，分析、鉴定、调配、生产和研发新药等的学科。</w:t>
      </w:r>
    </w:p>
    <w:p>
      <w:pPr>
        <w:pStyle w:val="BodyText"/>
        <w:spacing w:line="328" w:lineRule="auto"/>
        <w:ind w:left="390" w:right="238" w:firstLine="480"/>
      </w:pPr>
      <w:r>
        <w:rPr>
          <w:color w:val="231F20"/>
        </w:rPr>
        <w:t>生物制药的内容非常广泛，本模块侧重于常见药物制备、药物分析和药物作用三个部分。</w:t>
      </w:r>
    </w:p>
    <w:p>
      <w:pPr>
        <w:pStyle w:val="BodyText"/>
        <w:spacing w:line="328" w:lineRule="auto"/>
        <w:ind w:left="390" w:right="238" w:firstLine="480"/>
        <w:jc w:val="both"/>
      </w:pPr>
      <w:r>
        <w:rPr>
          <w:color w:val="231F20"/>
        </w:rPr>
        <w:t>本模块应首先介绍药物对机体的作用、机体对药物的影响和药物制备的技术，然后再介绍各类药物及其临床应用，并介绍药物发现历史及当前最活跃的药物研发概况。</w:t>
      </w:r>
    </w:p>
    <w:p>
      <w:pPr>
        <w:pStyle w:val="BodyText"/>
        <w:spacing w:line="304" w:lineRule="exact"/>
        <w:ind w:left="870"/>
      </w:pPr>
      <w:r>
        <w:rPr>
          <w:color w:val="231F20"/>
        </w:rPr>
        <w:t>教师在教学活动中，除了讲解制药的基本技术，还要通过讲解案</w:t>
      </w:r>
    </w:p>
    <w:p>
      <w:pPr>
        <w:spacing w:after="0" w:line="304" w:lineRule="exact"/>
        <w:sectPr>
          <w:pgSz w:w="10780" w:h="15090"/>
          <w:pgMar w:top="1260" w:right="1460" w:bottom="1400" w:left="1480" w:header="1029" w:footer="1217"/>
          <w:cols w:space="708"/>
        </w:sectPr>
      </w:pPr>
    </w:p>
    <w:p>
      <w:pPr>
        <w:pStyle w:val="BodyText"/>
        <w:rPr>
          <w:sz w:val="20"/>
        </w:rPr>
      </w:pPr>
    </w:p>
    <w:p>
      <w:pPr>
        <w:pStyle w:val="BodyText"/>
        <w:spacing w:before="203" w:line="328" w:lineRule="auto"/>
        <w:ind w:left="220" w:right="408"/>
        <w:jc w:val="both"/>
      </w:pPr>
      <w:r>
        <w:rPr>
          <w:color w:val="231F20"/>
          <w:spacing w:val="-1"/>
        </w:rPr>
        <w:t>例，让学生体会本模块的目的是生产更有效、更高质量和更安全的药</w:t>
      </w:r>
      <w:r>
        <w:rPr>
          <w:color w:val="231F20"/>
          <w:spacing w:val="-4"/>
        </w:rPr>
        <w:t>物；应教会学生使用最新版的《中华人民共和国药典》，使学生认识</w:t>
      </w:r>
      <w:r>
        <w:rPr>
          <w:color w:val="231F20"/>
          <w:spacing w:val="-1"/>
        </w:rPr>
        <w:t>到药品标准是药品生产和质量管理的重要组成部分，是药品生产、供应、使用和监督管理部门共同遵循的法定依据，形成按药品标准制药的观念；应组织学生参观当地药厂、医院和药物研发单位，了解我国药物研发和使用的现状，创造条件开展药物研发和制备实习，使学生树立为人类健康事业而努力的信念；鼓励学生通过互联网、书刊等渠</w:t>
      </w:r>
      <w:r>
        <w:rPr>
          <w:color w:val="231F20"/>
        </w:rPr>
        <w:t>道主动收集新药研发的相关资料，并开展交流活动。</w:t>
      </w:r>
    </w:p>
    <w:p>
      <w:pPr>
        <w:pStyle w:val="BodyText"/>
        <w:spacing w:line="328" w:lineRule="auto"/>
        <w:ind w:left="220" w:right="408" w:firstLine="480"/>
      </w:pPr>
      <w:r>
        <w:rPr>
          <w:color w:val="231F20"/>
          <w:spacing w:val="-1"/>
        </w:rPr>
        <w:t>通过本模块的学习，学生将掌握药物制备和应用的有关环节和基</w:t>
      </w:r>
      <w:r>
        <w:rPr>
          <w:color w:val="231F20"/>
        </w:rPr>
        <w:t>本技术，认识到现代生物技术对医药产业的重要性。</w:t>
      </w:r>
    </w:p>
    <w:p>
      <w:pPr>
        <w:pStyle w:val="BodyText"/>
        <w:spacing w:before="8"/>
      </w:pPr>
    </w:p>
    <w:p>
      <w:pPr>
        <w:pStyle w:val="ListParagraph"/>
        <w:numPr>
          <w:ilvl w:val="1"/>
          <w:numId w:val="22"/>
        </w:numPr>
        <w:tabs>
          <w:tab w:val="left" w:pos="902"/>
        </w:tabs>
        <w:spacing w:before="0" w:after="0" w:line="240" w:lineRule="auto"/>
        <w:ind w:left="901" w:right="0" w:hanging="202"/>
        <w:jc w:val="left"/>
        <w:rPr>
          <w:sz w:val="24"/>
        </w:rPr>
      </w:pPr>
      <w:r>
        <w:rPr>
          <w:color w:val="231F20"/>
          <w:sz w:val="24"/>
        </w:rPr>
        <w:t>“海洋生物学”模块开设建议（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220" w:right="287" w:firstLine="480"/>
      </w:pPr>
      <w:r>
        <w:rPr>
          <w:color w:val="231F20"/>
        </w:rPr>
        <w:t>海洋占地球总面积的</w:t>
      </w:r>
      <w:r>
        <w:rPr>
          <w:rFonts w:ascii="Times New Roman" w:eastAsia="Times New Roman"/>
          <w:color w:val="231F20"/>
        </w:rPr>
        <w:t>70.8</w:t>
      </w:r>
      <w:r>
        <w:rPr>
          <w:color w:val="231F20"/>
        </w:rPr>
        <w:t>%，其中生活着丰富多彩的生物种类， 它们是生物多样性的宝库，吸引着我们去探索和认识。海洋生物学就是研究生活在海洋中的生命有机体的科学。通过对海洋生物形态结构、重要类群、生理、生化、生态、系统发育和地理分布等知识的学习，可以较为系统全面地了解海洋生物，为保护以及合理开发利用海</w:t>
      </w:r>
      <w:r>
        <w:rPr>
          <w:color w:val="231F20"/>
          <w:w w:val="105"/>
        </w:rPr>
        <w:t>洋生物资源奠定基础。</w:t>
      </w:r>
    </w:p>
    <w:p>
      <w:pPr>
        <w:pStyle w:val="BodyText"/>
        <w:spacing w:line="328" w:lineRule="auto"/>
        <w:ind w:left="220" w:right="405" w:firstLine="480"/>
        <w:jc w:val="both"/>
      </w:pPr>
      <w:r>
        <w:rPr>
          <w:color w:val="231F20"/>
        </w:rPr>
        <w:t>本模块包括海洋生物的重要类群及其生命特征、海洋生态系统的结构和功能、海洋生物资源的保护和利用</w:t>
      </w:r>
      <w:r>
        <w:rPr>
          <w:rFonts w:ascii="Times New Roman" w:eastAsia="Times New Roman"/>
          <w:color w:val="231F20"/>
        </w:rPr>
        <w:t xml:space="preserve">3 </w:t>
      </w:r>
      <w:r>
        <w:rPr>
          <w:color w:val="231F20"/>
        </w:rPr>
        <w:t>个部分。课程内容应以海洋生物为基础，体现海洋特色，突出海洋中的生命现象及其规律，以及海洋生物在整个地球生物圈中的作用等。</w:t>
      </w:r>
    </w:p>
    <w:p>
      <w:pPr>
        <w:pStyle w:val="BodyText"/>
        <w:spacing w:line="328" w:lineRule="auto"/>
        <w:ind w:left="220" w:right="408" w:firstLine="480"/>
        <w:jc w:val="both"/>
      </w:pPr>
      <w:r>
        <w:rPr>
          <w:color w:val="231F20"/>
        </w:rPr>
        <w:t>教师在教学活动中要善于利用与陆地生态系统相比较的方式，突出海洋环境的特殊性以及与此环境相适应的海洋生物的习性；应充分利用水族馆、博物馆和水产品市场，组织好学生的探究性学习；要通过介绍我国领海及大陆架环境及其生物资源的相关知识，培养学生的海洋观念和海洋国土意识，增强环保理念和爱国信念；鼓励学生通过互联网、书刊等渠道主动收集海洋生物学知识，并开展交流活动，同</w:t>
      </w:r>
    </w:p>
    <w:p>
      <w:pPr>
        <w:spacing w:after="0" w:line="328" w:lineRule="auto"/>
        <w:jc w:val="both"/>
        <w:sectPr>
          <w:pgSz w:w="10780" w:h="15090"/>
          <w:pgMar w:top="1260" w:right="1460" w:bottom="1400" w:left="1480" w:header="989" w:footer="1217"/>
          <w:cols w:space="708"/>
        </w:sectPr>
      </w:pPr>
    </w:p>
    <w:p>
      <w:pPr>
        <w:pStyle w:val="BodyText"/>
        <w:spacing w:before="10"/>
        <w:rPr>
          <w:sz w:val="29"/>
        </w:rPr>
      </w:pPr>
    </w:p>
    <w:p>
      <w:pPr>
        <w:pStyle w:val="BodyText"/>
        <w:spacing w:before="67"/>
        <w:ind w:left="390"/>
      </w:pPr>
      <w:r>
        <w:rPr>
          <w:color w:val="231F20"/>
        </w:rPr>
        <w:t>时帮助学生了解世界及我国海洋水产业的发展现状和趋势。</w:t>
      </w:r>
    </w:p>
    <w:p>
      <w:pPr>
        <w:pStyle w:val="BodyText"/>
        <w:spacing w:before="113" w:line="328" w:lineRule="auto"/>
        <w:ind w:left="390" w:right="238" w:firstLine="480"/>
      </w:pPr>
      <w:r>
        <w:rPr>
          <w:color w:val="231F20"/>
        </w:rPr>
        <w:t>通过本模块的学习，学生将认识到海洋生物对人类社会和经济发展的重要性，逐渐形成海洋生态平衡观以及地球生态系统整体观。</w:t>
      </w:r>
    </w:p>
    <w:p>
      <w:pPr>
        <w:pStyle w:val="BodyText"/>
        <w:spacing w:before="6"/>
        <w:rPr>
          <w:sz w:val="25"/>
        </w:rPr>
      </w:pPr>
    </w:p>
    <w:p>
      <w:pPr>
        <w:pStyle w:val="ListParagraph"/>
        <w:numPr>
          <w:ilvl w:val="1"/>
          <w:numId w:val="22"/>
        </w:numPr>
        <w:tabs>
          <w:tab w:val="left" w:pos="1072"/>
        </w:tabs>
        <w:spacing w:before="0" w:after="0" w:line="240" w:lineRule="auto"/>
        <w:ind w:left="1071" w:right="0" w:hanging="202"/>
        <w:jc w:val="both"/>
        <w:rPr>
          <w:sz w:val="24"/>
        </w:rPr>
      </w:pPr>
      <w:r>
        <w:rPr>
          <w:color w:val="231F20"/>
          <w:sz w:val="24"/>
        </w:rPr>
        <w:t>“食品安全与检疫”模块开设建议（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390" w:right="245" w:firstLine="480"/>
        <w:jc w:val="both"/>
      </w:pPr>
      <w:r>
        <w:rPr>
          <w:color w:val="231F20"/>
          <w:spacing w:val="-10"/>
        </w:rPr>
        <w:t>食品安全指食品符合应有的营养要求，对人及其后代健康不造成任</w:t>
      </w:r>
      <w:r>
        <w:rPr>
          <w:color w:val="231F20"/>
          <w:spacing w:val="-12"/>
        </w:rPr>
        <w:t>何急性、亚急性或者慢性危害，在食品加工、存储和销售等过程中确保食品卫生及食用安全，降低疾病隐患，防范食物中毒。随着人类文明的进步，人们越来越重视食品的安全性。食品安全关系国民的健康和民族的永续发展。</w:t>
      </w:r>
    </w:p>
    <w:p>
      <w:pPr>
        <w:pStyle w:val="BodyText"/>
        <w:spacing w:line="328" w:lineRule="auto"/>
        <w:ind w:left="390" w:right="238" w:firstLine="480"/>
        <w:jc w:val="both"/>
      </w:pPr>
      <w:r>
        <w:rPr>
          <w:color w:val="231F20"/>
        </w:rPr>
        <w:t>本模块包括食品生产安全、食品经营安全和食品安全检疫三个部分。课程内容应围绕食品（食物）的生产、加工、存储、销售等环节，介绍食品安全的基础知识，进而阐明食品安全检疫的原理和基本操作技术。</w:t>
      </w:r>
    </w:p>
    <w:p>
      <w:pPr>
        <w:pStyle w:val="BodyText"/>
        <w:spacing w:line="328" w:lineRule="auto"/>
        <w:ind w:left="390" w:right="211" w:firstLine="480"/>
        <w:jc w:val="both"/>
      </w:pPr>
      <w:r>
        <w:rPr>
          <w:color w:val="231F20"/>
          <w:spacing w:val="28"/>
        </w:rPr>
        <w:t>教师在教学活动中要围绕食品安全的含义和“食品数量安</w:t>
      </w:r>
      <w:r>
        <w:rPr>
          <w:color w:val="231F20"/>
          <w:spacing w:val="-8"/>
        </w:rPr>
        <w:t>全”“食品质量安全”和“食品可持续安全”三个层次，介绍食品安</w:t>
      </w:r>
      <w:r>
        <w:rPr>
          <w:color w:val="231F20"/>
        </w:rPr>
        <w:t>全标准及相关检疫技术；应通过典型的食品安全案例，组织学生的探究性学习，并开展食品安全的实践教学活动，使学生在掌握相关知识的同时，形成“防控并重”的观念；要通过介绍国家关于食品的强制</w:t>
      </w:r>
      <w:r>
        <w:rPr>
          <w:color w:val="231F20"/>
          <w:spacing w:val="-7"/>
        </w:rPr>
        <w:t>标准和要求，参观当地食品药品监督管理部门等，帮助学生了解我国</w:t>
      </w:r>
      <w:r>
        <w:rPr>
          <w:color w:val="231F20"/>
          <w:spacing w:val="-10"/>
        </w:rPr>
        <w:t>的食品安全保障体系和政策；鼓励学生通过互联网、书刊等渠道主动收</w:t>
      </w:r>
      <w:r>
        <w:rPr>
          <w:color w:val="231F20"/>
          <w:spacing w:val="-12"/>
        </w:rPr>
        <w:t>集食品安全及其检疫的相关资料，并开展交流活动。</w:t>
      </w:r>
    </w:p>
    <w:p>
      <w:pPr>
        <w:pStyle w:val="BodyText"/>
        <w:spacing w:line="328" w:lineRule="auto"/>
        <w:ind w:left="390" w:right="238" w:firstLine="480"/>
        <w:jc w:val="both"/>
      </w:pPr>
      <w:r>
        <w:rPr>
          <w:color w:val="231F20"/>
          <w:spacing w:val="-1"/>
        </w:rPr>
        <w:t>通过本模块的学习，学生将了解食品生产的途径，食品生产过程质量控制的重要性，全球以及我国食品检疫体系的组成，掌握食品安</w:t>
      </w:r>
      <w:r>
        <w:rPr>
          <w:color w:val="231F20"/>
        </w:rPr>
        <w:t>全预防措施、食品检疫工作等的流程和基本技术。</w:t>
      </w:r>
    </w:p>
    <w:p>
      <w:pPr>
        <w:pStyle w:val="BodyText"/>
        <w:spacing w:before="9"/>
        <w:rPr>
          <w:sz w:val="23"/>
        </w:rPr>
      </w:pPr>
    </w:p>
    <w:p>
      <w:pPr>
        <w:pStyle w:val="ListParagraph"/>
        <w:numPr>
          <w:ilvl w:val="1"/>
          <w:numId w:val="22"/>
        </w:numPr>
        <w:tabs>
          <w:tab w:val="left" w:pos="1072"/>
        </w:tabs>
        <w:spacing w:before="0" w:after="0" w:line="240" w:lineRule="auto"/>
        <w:ind w:left="1071" w:right="0" w:hanging="202"/>
        <w:jc w:val="both"/>
        <w:rPr>
          <w:sz w:val="24"/>
        </w:rPr>
      </w:pPr>
      <w:r>
        <w:rPr>
          <w:color w:val="231F20"/>
          <w:sz w:val="24"/>
        </w:rPr>
        <w:t>“职业病与防控”模块开设建议（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ind w:left="870"/>
      </w:pPr>
      <w:r>
        <w:rPr>
          <w:color w:val="231F20"/>
        </w:rPr>
        <w:t>职业病是指企事业等单位的劳动者在职业活动中，因接触粉尘、</w:t>
      </w:r>
    </w:p>
    <w:p>
      <w:pPr>
        <w:spacing w:after="0"/>
        <w:sectPr>
          <w:pgSz w:w="10780" w:h="15090"/>
          <w:pgMar w:top="1260" w:right="1460" w:bottom="1400" w:left="1480" w:header="1029" w:footer="1217"/>
          <w:cols w:space="708"/>
        </w:sectPr>
      </w:pPr>
    </w:p>
    <w:p>
      <w:pPr>
        <w:pStyle w:val="BodyText"/>
        <w:rPr>
          <w:sz w:val="20"/>
        </w:rPr>
      </w:pPr>
    </w:p>
    <w:p>
      <w:pPr>
        <w:pStyle w:val="BodyText"/>
        <w:spacing w:before="203" w:line="328" w:lineRule="auto"/>
        <w:ind w:left="220" w:right="408"/>
        <w:jc w:val="both"/>
      </w:pPr>
      <w:r>
        <w:rPr>
          <w:color w:val="231F20"/>
        </w:rPr>
        <w:t>放射性物质或其他有毒、有害因素而出现的疾病。最主要的职业病有尘肺病、职业中毒、职业性皮肤病等。职业病不仅影响劳动者的身体健康，也影响家庭幸福。我国对职业病的防控非常重视。</w:t>
      </w:r>
    </w:p>
    <w:p>
      <w:pPr>
        <w:pStyle w:val="BodyText"/>
        <w:spacing w:line="328" w:lineRule="auto"/>
        <w:ind w:left="220" w:right="408" w:firstLine="480"/>
        <w:jc w:val="both"/>
      </w:pPr>
      <w:r>
        <w:rPr>
          <w:color w:val="231F20"/>
        </w:rPr>
        <w:t>本模块包括职业病的形成和防控两个部分。课程内容应以学习职业病形成的病因为基础，进而学习职业病防控的知识和国家有关的法律法规。</w:t>
      </w:r>
    </w:p>
    <w:p>
      <w:pPr>
        <w:pStyle w:val="BodyText"/>
        <w:spacing w:line="328" w:lineRule="auto"/>
        <w:ind w:left="220" w:right="288" w:firstLine="480"/>
      </w:pPr>
      <w:r>
        <w:rPr>
          <w:color w:val="231F20"/>
        </w:rPr>
        <w:t>教师在教学活动中要通过案例的讲解，重点介绍职业病的特点、预防对策和控制措施；应充分利用当地常见职业病案例，通过宣传</w:t>
      </w:r>
    </w:p>
    <w:p>
      <w:pPr>
        <w:pStyle w:val="BodyText"/>
        <w:spacing w:line="328" w:lineRule="auto"/>
        <w:ind w:left="220" w:right="400" w:hanging="120"/>
        <w:jc w:val="both"/>
      </w:pPr>
      <w:r>
        <w:rPr>
          <w:color w:val="231F20"/>
        </w:rPr>
        <w:t>《中华人民共和国职业病防治法》等，组织学生进行探究性活动，使学生在掌握相关知识的同时，形成“防控并重”的观念；要通过介绍我国自</w:t>
      </w:r>
      <w:r>
        <w:rPr>
          <w:rFonts w:ascii="Times New Roman" w:eastAsia="Times New Roman" w:hAnsi="Times New Roman"/>
          <w:color w:val="231F20"/>
        </w:rPr>
        <w:t xml:space="preserve">1949 </w:t>
      </w:r>
      <w:r>
        <w:rPr>
          <w:color w:val="231F20"/>
        </w:rPr>
        <w:t>年以来职业病防控所取得的巨大成就，参观当地职业病防治单位等，使学生了解当地和我国职业病及其防控的现状，认识到职业病防控不仅关系广大劳动者身体健康和生命安全，也关系经济社会可持续发展和社会的和谐稳定；应充分发挥学生的学习主动性，鼓励学生通过互联网、书刊等渠道主动收集职业病及其防控的相关资料，并开展交流活动。</w:t>
      </w:r>
    </w:p>
    <w:p>
      <w:pPr>
        <w:pStyle w:val="BodyText"/>
        <w:spacing w:line="328" w:lineRule="auto"/>
        <w:ind w:left="220" w:right="287" w:firstLine="480"/>
      </w:pPr>
      <w:r>
        <w:rPr>
          <w:color w:val="231F20"/>
        </w:rPr>
        <w:t>通过本模块的学习，学生将了解职业病的构成要件、主要特点、主要类型和诊断标准等，掌握职业病预防和控制的基本知识。</w:t>
      </w:r>
    </w:p>
    <w:p>
      <w:pPr>
        <w:pStyle w:val="BodyText"/>
        <w:spacing w:before="11"/>
        <w:rPr>
          <w:sz w:val="23"/>
        </w:rPr>
      </w:pPr>
    </w:p>
    <w:p>
      <w:pPr>
        <w:pStyle w:val="ListParagraph"/>
        <w:numPr>
          <w:ilvl w:val="1"/>
          <w:numId w:val="22"/>
        </w:numPr>
        <w:tabs>
          <w:tab w:val="left" w:pos="902"/>
        </w:tabs>
        <w:spacing w:before="0" w:after="0" w:line="240" w:lineRule="auto"/>
        <w:ind w:left="901" w:right="0" w:hanging="202"/>
        <w:jc w:val="left"/>
        <w:rPr>
          <w:sz w:val="24"/>
        </w:rPr>
      </w:pPr>
      <w:r>
        <w:rPr>
          <w:color w:val="231F20"/>
          <w:sz w:val="24"/>
        </w:rPr>
        <w:t>“园艺与景观生态学”模块开设建议（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220" w:right="290" w:firstLine="480"/>
      </w:pPr>
      <w:r>
        <w:rPr>
          <w:color w:val="231F20"/>
        </w:rPr>
        <w:t>园艺学是研究园艺作物的种质资源、生长发育规律、繁殖、栽培、育种、储藏、加工、病虫害以及造园等的科学。造园学又叫园林规划设计学，是研究园林绿地的设计、规划、施工和养护管理的科学。园艺作物一般指以较小规模集约栽培的具有较高经济价值的作物，主要分为果树、蔬菜和观赏植物三大类。现代园艺已成综合应用各种科学技术成果以促进生产的重要领域，对丰富人类营养和美化、改造人类生存环境具有重要意义。</w:t>
      </w:r>
    </w:p>
    <w:p>
      <w:pPr>
        <w:pStyle w:val="BodyText"/>
        <w:spacing w:line="299" w:lineRule="exact"/>
        <w:ind w:left="700"/>
      </w:pPr>
      <w:r>
        <w:rPr>
          <w:color w:val="231F20"/>
        </w:rPr>
        <w:t>景观生态学是研究在一个相当大的区域内，由许多不同生态系统</w:t>
      </w:r>
    </w:p>
    <w:p>
      <w:pPr>
        <w:spacing w:after="0" w:line="299" w:lineRule="exact"/>
        <w:sectPr>
          <w:pgSz w:w="10780" w:h="15090"/>
          <w:pgMar w:top="1260" w:right="1460" w:bottom="1400" w:left="1480" w:header="989" w:footer="1217"/>
          <w:cols w:space="708"/>
        </w:sectPr>
      </w:pPr>
    </w:p>
    <w:p>
      <w:pPr>
        <w:pStyle w:val="BodyText"/>
        <w:spacing w:before="10"/>
        <w:rPr>
          <w:sz w:val="29"/>
        </w:rPr>
      </w:pPr>
    </w:p>
    <w:p>
      <w:pPr>
        <w:pStyle w:val="BodyText"/>
        <w:spacing w:before="67" w:line="328" w:lineRule="auto"/>
        <w:ind w:left="390" w:right="120"/>
      </w:pPr>
      <w:r>
        <w:rPr>
          <w:color w:val="231F20"/>
        </w:rPr>
        <w:t>所组成的整体（即景观）的空间结构、相互作用、协调功能及动态变化的一门生态学新分支，重点在于研究景观的美化格局、优化结构、合理利用和保护。</w:t>
      </w:r>
    </w:p>
    <w:p>
      <w:pPr>
        <w:pStyle w:val="BodyText"/>
        <w:spacing w:line="328" w:lineRule="auto"/>
        <w:ind w:left="390" w:right="226" w:firstLine="480"/>
        <w:jc w:val="both"/>
      </w:pPr>
      <w:r>
        <w:rPr>
          <w:color w:val="231F20"/>
          <w:spacing w:val="6"/>
        </w:rPr>
        <w:t>教师在教学中，应在讲解清楚园艺学、景观生态学基本概念的</w:t>
      </w:r>
      <w:r>
        <w:rPr>
          <w:color w:val="231F20"/>
          <w:spacing w:val="4"/>
        </w:rPr>
        <w:t>基础之上，重点介绍当地的园艺作物的代表种类、景观设计的基本原理，然后应用相关理论与技术，与学生一起设计具体的“园林景</w:t>
      </w:r>
      <w:r>
        <w:rPr>
          <w:color w:val="231F20"/>
          <w:spacing w:val="-8"/>
        </w:rPr>
        <w:t>观”，如校园景观。在实践活动中强化相关理论知识，激发学生的学</w:t>
      </w:r>
      <w:r>
        <w:rPr>
          <w:color w:val="231F20"/>
        </w:rPr>
        <w:t>习热情，开发学生的创造能力。</w:t>
      </w:r>
    </w:p>
    <w:p>
      <w:pPr>
        <w:pStyle w:val="BodyText"/>
        <w:spacing w:line="328" w:lineRule="auto"/>
        <w:ind w:left="390" w:right="238" w:firstLine="480"/>
        <w:jc w:val="both"/>
      </w:pPr>
      <w:r>
        <w:rPr>
          <w:color w:val="231F20"/>
        </w:rPr>
        <w:t>通过本模块的学习，学生能够理解园艺学、景观生态学的基本概念，了解园艺植物（如当地代表种类）的基本栽培管理技术、景观设计的基本原理，能够感受到美化环境在生活中的重要意义。</w:t>
      </w:r>
    </w:p>
    <w:p>
      <w:pPr>
        <w:pStyle w:val="BodyText"/>
        <w:spacing w:before="7"/>
      </w:pPr>
    </w:p>
    <w:p>
      <w:pPr>
        <w:pStyle w:val="ListParagraph"/>
        <w:numPr>
          <w:ilvl w:val="1"/>
          <w:numId w:val="22"/>
        </w:numPr>
        <w:tabs>
          <w:tab w:val="left" w:pos="1072"/>
        </w:tabs>
        <w:spacing w:before="1" w:after="0" w:line="240" w:lineRule="auto"/>
        <w:ind w:left="1071" w:right="0" w:hanging="202"/>
        <w:jc w:val="both"/>
        <w:rPr>
          <w:sz w:val="24"/>
        </w:rPr>
      </w:pPr>
      <w:r>
        <w:rPr>
          <w:color w:val="231F20"/>
          <w:sz w:val="24"/>
        </w:rPr>
        <w:t>“环境友好与经济作物”模块开设建议（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390" w:right="229" w:firstLine="480"/>
        <w:jc w:val="both"/>
      </w:pPr>
      <w:r>
        <w:rPr>
          <w:color w:val="231F20"/>
        </w:rPr>
        <w:t>经济作物是指与人类生存和生活密切相关的作物，主要包括棉花、油料作物、果蔬、茶叶等。人类为了获取高额经济回报往往肆意割除原有植被，大规模集中种植某种（些）作物，而且在耕作过程中大量使用化肥、农药和除草剂，在获得较高产量的同时也对环境造成日益严重的影响。</w:t>
      </w:r>
    </w:p>
    <w:p>
      <w:pPr>
        <w:pStyle w:val="BodyText"/>
        <w:spacing w:line="301" w:lineRule="exact"/>
        <w:ind w:left="870"/>
        <w:jc w:val="both"/>
      </w:pPr>
      <w:r>
        <w:rPr>
          <w:rFonts w:ascii="Times New Roman" w:eastAsia="Times New Roman"/>
          <w:color w:val="231F20"/>
        </w:rPr>
        <w:t xml:space="preserve">1992 </w:t>
      </w:r>
      <w:r>
        <w:rPr>
          <w:color w:val="231F20"/>
        </w:rPr>
        <w:t>年，在里约热内卢召开的联合国环境与发展大会通过的</w:t>
      </w:r>
    </w:p>
    <w:p>
      <w:pPr>
        <w:pStyle w:val="BodyText"/>
        <w:spacing w:before="113" w:line="328" w:lineRule="auto"/>
        <w:ind w:left="391" w:right="221" w:hanging="121"/>
        <w:jc w:val="both"/>
      </w:pPr>
      <w:r>
        <w:rPr>
          <w:color w:val="231F20"/>
        </w:rPr>
        <w:t>《</w:t>
      </w:r>
      <w:r>
        <w:rPr>
          <w:rFonts w:ascii="Times New Roman" w:eastAsia="Times New Roman" w:hAnsi="Times New Roman"/>
          <w:color w:val="231F20"/>
        </w:rPr>
        <w:t>21</w:t>
      </w:r>
      <w:r>
        <w:rPr>
          <w:rFonts w:ascii="Times New Roman" w:eastAsia="Times New Roman" w:hAnsi="Times New Roman"/>
          <w:color w:val="231F20"/>
          <w:spacing w:val="-27"/>
        </w:rPr>
        <w:t xml:space="preserve"> </w:t>
      </w:r>
      <w:r>
        <w:rPr>
          <w:color w:val="231F20"/>
          <w:spacing w:val="8"/>
        </w:rPr>
        <w:t>世纪议程》中提出了“环境友好”的理念。在</w:t>
      </w:r>
      <w:r>
        <w:rPr>
          <w:rFonts w:ascii="Times New Roman" w:eastAsia="Times New Roman" w:hAnsi="Times New Roman"/>
          <w:color w:val="231F20"/>
        </w:rPr>
        <w:t>2005</w:t>
      </w:r>
      <w:r>
        <w:rPr>
          <w:rFonts w:ascii="Times New Roman" w:eastAsia="Times New Roman" w:hAnsi="Times New Roman"/>
          <w:color w:val="231F20"/>
          <w:spacing w:val="-27"/>
        </w:rPr>
        <w:t xml:space="preserve"> </w:t>
      </w:r>
      <w:r>
        <w:rPr>
          <w:color w:val="231F20"/>
          <w:spacing w:val="33"/>
        </w:rPr>
        <w:t>年</w:t>
      </w:r>
      <w:r>
        <w:rPr>
          <w:rFonts w:ascii="Times New Roman" w:eastAsia="Times New Roman" w:hAnsi="Times New Roman"/>
          <w:color w:val="231F20"/>
        </w:rPr>
        <w:t>10</w:t>
      </w:r>
      <w:r>
        <w:rPr>
          <w:rFonts w:ascii="Times New Roman" w:eastAsia="Times New Roman" w:hAnsi="Times New Roman"/>
          <w:color w:val="231F20"/>
          <w:spacing w:val="-27"/>
        </w:rPr>
        <w:t xml:space="preserve"> </w:t>
      </w:r>
      <w:r>
        <w:rPr>
          <w:color w:val="231F20"/>
          <w:spacing w:val="10"/>
        </w:rPr>
        <w:t>月召开</w:t>
      </w:r>
      <w:r>
        <w:rPr>
          <w:color w:val="231F20"/>
        </w:rPr>
        <w:t>的中国共产党第十六届五中全会上，中央正式将建设资源节约型和环</w:t>
      </w:r>
      <w:r>
        <w:rPr>
          <w:color w:val="231F20"/>
          <w:spacing w:val="17"/>
        </w:rPr>
        <w:t>境友好型社会确定为国民经济与社会发展中长期规划的一项战略</w:t>
      </w:r>
      <w:r>
        <w:rPr>
          <w:color w:val="231F20"/>
          <w:spacing w:val="12"/>
        </w:rPr>
        <w:t>任务。</w:t>
      </w:r>
    </w:p>
    <w:p>
      <w:pPr>
        <w:pStyle w:val="BodyText"/>
        <w:spacing w:line="328" w:lineRule="auto"/>
        <w:ind w:left="391" w:right="238" w:firstLine="480"/>
        <w:jc w:val="both"/>
      </w:pPr>
      <w:r>
        <w:rPr>
          <w:color w:val="231F20"/>
        </w:rPr>
        <w:t>环境友好是指人与自然和谐共处，人类的生产和消费活动与自然生态系统相协调，人类社会处于可持续发展状态。本模块内容应包括环境友好的实质和内涵，明确环境保护和经济作物都是人类赖以生存和发展的基石。要阐明环境保护是国际社会环境保护战略思想演变和可持续发展实践进展的必然结果。强调种植经济作物应该努力在获得</w:t>
      </w:r>
    </w:p>
    <w:p>
      <w:pPr>
        <w:spacing w:after="0" w:line="328" w:lineRule="auto"/>
        <w:jc w:val="both"/>
        <w:sectPr>
          <w:pgSz w:w="10780" w:h="15090"/>
          <w:pgMar w:top="1260" w:right="1460" w:bottom="1400" w:left="1480" w:header="1029" w:footer="1217"/>
          <w:cols w:space="708"/>
        </w:sectPr>
      </w:pPr>
    </w:p>
    <w:p>
      <w:pPr>
        <w:pStyle w:val="BodyText"/>
        <w:rPr>
          <w:sz w:val="20"/>
        </w:rPr>
      </w:pPr>
    </w:p>
    <w:p>
      <w:pPr>
        <w:pStyle w:val="BodyText"/>
        <w:spacing w:before="203" w:line="328" w:lineRule="auto"/>
        <w:ind w:left="220" w:right="408"/>
      </w:pPr>
      <w:r>
        <w:rPr>
          <w:color w:val="231F20"/>
        </w:rPr>
        <w:t>较高经济效益和环境保护之间取得适当的平衡，力求在生产过程中将对环境的干扰和危害降到最低程度。</w:t>
      </w:r>
    </w:p>
    <w:p>
      <w:pPr>
        <w:pStyle w:val="BodyText"/>
        <w:spacing w:line="328" w:lineRule="auto"/>
        <w:ind w:left="220" w:right="408" w:firstLine="480"/>
        <w:jc w:val="both"/>
      </w:pPr>
      <w:r>
        <w:rPr>
          <w:color w:val="231F20"/>
        </w:rPr>
        <w:t>教师在教学过程中，可通过组织学生观看相关视频或列举人类发展史上发生的企业排污或生产事故等“重经济，轻环保”的案例，告诫学生生产与环保协调发展的重要性，指出“先污染，后治理”是文明社会不能容忍的行为，是危害人类健康和发展、祸害子孙的不负责任的行为；同时，探讨高效栽培经济作物与环境保护协同发展的各种可能措施。</w:t>
      </w:r>
    </w:p>
    <w:p>
      <w:pPr>
        <w:pStyle w:val="BodyText"/>
        <w:spacing w:line="328" w:lineRule="auto"/>
        <w:ind w:left="220" w:right="408" w:firstLine="480"/>
        <w:jc w:val="both"/>
      </w:pPr>
      <w:r>
        <w:rPr>
          <w:color w:val="231F20"/>
        </w:rPr>
        <w:t>本模块的学习，有利于帮助学生认识生产和环保是人类社会发展的两个轮子，缺一不可。只有把发展生产对环境造成的压力或危害降低到最低程度，人类社会才可能持续不断发展。</w:t>
      </w:r>
    </w:p>
    <w:p>
      <w:pPr>
        <w:pStyle w:val="BodyText"/>
        <w:spacing w:before="7"/>
      </w:pPr>
    </w:p>
    <w:p>
      <w:pPr>
        <w:pStyle w:val="ListParagraph"/>
        <w:numPr>
          <w:ilvl w:val="1"/>
          <w:numId w:val="22"/>
        </w:numPr>
        <w:tabs>
          <w:tab w:val="left" w:pos="902"/>
        </w:tabs>
        <w:spacing w:before="0" w:after="0" w:line="240" w:lineRule="auto"/>
        <w:ind w:left="901" w:right="0" w:hanging="202"/>
        <w:jc w:val="both"/>
        <w:rPr>
          <w:sz w:val="24"/>
        </w:rPr>
      </w:pPr>
      <w:r>
        <w:rPr>
          <w:color w:val="231F20"/>
          <w:sz w:val="24"/>
        </w:rPr>
        <w:t>“生物资源开发与利用”模块开设建议（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220" w:right="408" w:firstLine="480"/>
        <w:jc w:val="both"/>
      </w:pPr>
      <w:r>
        <w:rPr>
          <w:color w:val="231F20"/>
        </w:rPr>
        <w:t>生物资源是自然资源的有机组成部分，是生物圈中一切动物、植物和微生物组成的生物群落的总和，是对人类具有实际或潜在应用价值的可再生资源，是人类生活和生产的物质基础。生物资源包括基因、物种以及生态系统三个层次。</w:t>
      </w:r>
    </w:p>
    <w:p>
      <w:pPr>
        <w:pStyle w:val="BodyText"/>
        <w:spacing w:line="328" w:lineRule="auto"/>
        <w:ind w:left="220" w:right="288" w:firstLine="480"/>
      </w:pPr>
      <w:r>
        <w:rPr>
          <w:color w:val="231F20"/>
        </w:rPr>
        <w:t>本模块可包括野生生物资源、农作物资源（如粮食作物、油料作</w:t>
      </w:r>
      <w:r>
        <w:rPr>
          <w:color w:val="231F20"/>
          <w:spacing w:val="4"/>
        </w:rPr>
        <w:t>物、水果蔬菜等</w:t>
      </w:r>
      <w:r>
        <w:rPr>
          <w:color w:val="231F20"/>
          <w:spacing w:val="-90"/>
        </w:rPr>
        <w:t>）</w:t>
      </w:r>
      <w:r>
        <w:rPr>
          <w:color w:val="231F20"/>
          <w:spacing w:val="6"/>
        </w:rPr>
        <w:t>、畜牧水产资源</w:t>
      </w:r>
      <w:r>
        <w:rPr>
          <w:color w:val="231F20"/>
          <w:spacing w:val="7"/>
        </w:rPr>
        <w:t>（</w:t>
      </w:r>
      <w:r>
        <w:rPr>
          <w:color w:val="231F20"/>
          <w:spacing w:val="3"/>
        </w:rPr>
        <w:t>如畜类、禽类、水产品等</w:t>
      </w:r>
      <w:r>
        <w:rPr>
          <w:color w:val="231F20"/>
          <w:spacing w:val="-90"/>
        </w:rPr>
        <w:t>）</w:t>
      </w:r>
      <w:r>
        <w:rPr>
          <w:color w:val="231F20"/>
          <w:spacing w:val="7"/>
        </w:rPr>
        <w:t>、微</w:t>
      </w:r>
      <w:r>
        <w:rPr>
          <w:color w:val="231F20"/>
          <w:spacing w:val="2"/>
        </w:rPr>
        <w:t>生物资源</w:t>
      </w:r>
      <w:r>
        <w:rPr>
          <w:color w:val="231F20"/>
          <w:spacing w:val="3"/>
        </w:rPr>
        <w:t>（</w:t>
      </w:r>
      <w:r>
        <w:rPr>
          <w:color w:val="231F20"/>
          <w:spacing w:val="2"/>
        </w:rPr>
        <w:t>如食用菌、酵母菌等</w:t>
      </w:r>
      <w:r>
        <w:rPr>
          <w:color w:val="231F20"/>
          <w:spacing w:val="-90"/>
        </w:rPr>
        <w:t>）</w:t>
      </w:r>
      <w:r>
        <w:rPr>
          <w:color w:val="231F20"/>
          <w:spacing w:val="3"/>
        </w:rPr>
        <w:t>。教学内容可以根据当地生物资源</w:t>
      </w:r>
      <w:r>
        <w:rPr>
          <w:color w:val="231F20"/>
          <w:spacing w:val="-1"/>
        </w:rPr>
        <w:t xml:space="preserve">特点，结合地方社会经济发展需求，聚焦于“地方特色生物资源”； </w:t>
      </w:r>
      <w:r>
        <w:rPr>
          <w:color w:val="231F20"/>
        </w:rPr>
        <w:t>在学生了解生物资源（代表物种）的基本生物学特征的基础上，教师应重点介绍对生物资源（代表物种）的合理开发利用，如对相关生物资源深加工的原理方法、生产工艺流程及研究动态等。</w:t>
      </w:r>
    </w:p>
    <w:p>
      <w:pPr>
        <w:pStyle w:val="BodyText"/>
        <w:spacing w:line="328" w:lineRule="auto"/>
        <w:ind w:left="220" w:right="408" w:firstLine="480"/>
        <w:jc w:val="both"/>
      </w:pPr>
      <w:r>
        <w:rPr>
          <w:color w:val="231F20"/>
        </w:rPr>
        <w:t>通过本模块的学习，学生应该清楚认识到，我国虽然是生物资源最丰富的国家之一，但是生物资源承载力与人们需求间的矛盾也日趋尖锐，生态系统非常脆弱，生存环境压力巨大。因此，合理保护并科学利用生物资源，涵养生态系统并使其结构与功能得到恢复，对于我</w:t>
      </w:r>
    </w:p>
    <w:p>
      <w:pPr>
        <w:spacing w:after="0" w:line="328" w:lineRule="auto"/>
        <w:jc w:val="both"/>
        <w:sectPr>
          <w:pgSz w:w="10780" w:h="15090"/>
          <w:pgMar w:top="1260" w:right="1460" w:bottom="1400" w:left="1480" w:header="989" w:footer="1217"/>
          <w:cols w:space="708"/>
        </w:sectPr>
      </w:pPr>
    </w:p>
    <w:p>
      <w:pPr>
        <w:pStyle w:val="BodyText"/>
        <w:spacing w:before="10"/>
        <w:rPr>
          <w:sz w:val="29"/>
        </w:rPr>
      </w:pPr>
    </w:p>
    <w:p>
      <w:pPr>
        <w:pStyle w:val="BodyText"/>
        <w:spacing w:before="67"/>
        <w:ind w:left="390"/>
      </w:pPr>
      <w:r>
        <w:rPr>
          <w:color w:val="231F20"/>
        </w:rPr>
        <w:t>们的生存和可持续发展具有重要意义。</w:t>
      </w:r>
    </w:p>
    <w:p>
      <w:pPr>
        <w:pStyle w:val="BodyText"/>
        <w:spacing w:before="6"/>
        <w:rPr>
          <w:sz w:val="34"/>
        </w:rPr>
      </w:pPr>
    </w:p>
    <w:p>
      <w:pPr>
        <w:pStyle w:val="ListParagraph"/>
        <w:numPr>
          <w:ilvl w:val="1"/>
          <w:numId w:val="22"/>
        </w:numPr>
        <w:tabs>
          <w:tab w:val="left" w:pos="1072"/>
        </w:tabs>
        <w:spacing w:before="0" w:after="0" w:line="240" w:lineRule="auto"/>
        <w:ind w:left="1071" w:right="0" w:hanging="202"/>
        <w:jc w:val="both"/>
        <w:rPr>
          <w:sz w:val="24"/>
        </w:rPr>
      </w:pPr>
      <w:r>
        <w:rPr>
          <w:color w:val="231F20"/>
          <w:sz w:val="24"/>
        </w:rPr>
        <w:t>“本地受胁物种保护”模块开设建议（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390" w:right="238" w:firstLine="480"/>
        <w:jc w:val="both"/>
      </w:pPr>
      <w:r>
        <w:rPr>
          <w:color w:val="231F20"/>
        </w:rPr>
        <w:t>受胁物种是指受到人类活动或自然剧变（如灾害）的影响，其野生种群在不久的将来灭绝概率很高的物种。一个关键物种的灭绝可能破坏当地的食物链，造成生态系统的不稳定，并可能最终导致整个生态系统的崩解。</w:t>
      </w:r>
    </w:p>
    <w:p>
      <w:pPr>
        <w:pStyle w:val="BodyText"/>
        <w:spacing w:line="328" w:lineRule="auto"/>
        <w:ind w:left="390" w:right="220" w:firstLine="480"/>
        <w:jc w:val="both"/>
      </w:pPr>
      <w:r>
        <w:rPr>
          <w:color w:val="231F20"/>
          <w:spacing w:val="5"/>
        </w:rPr>
        <w:t>国际自然保护联盟</w:t>
      </w:r>
      <w:r>
        <w:rPr>
          <w:color w:val="231F20"/>
        </w:rPr>
        <w:t>（</w:t>
      </w:r>
      <w:r>
        <w:rPr>
          <w:rFonts w:ascii="Times New Roman" w:eastAsia="Times New Roman" w:hAnsi="Times New Roman"/>
          <w:color w:val="231F20"/>
        </w:rPr>
        <w:t>IUCN</w:t>
      </w:r>
      <w:r>
        <w:rPr>
          <w:color w:val="231F20"/>
        </w:rPr>
        <w:t>）</w:t>
      </w:r>
      <w:r>
        <w:rPr>
          <w:color w:val="231F20"/>
          <w:spacing w:val="3"/>
        </w:rPr>
        <w:t>公布的《世界受胁物种红皮书》将受胁物种分为极危、濒危、易危、近危四个等级，它们均属于优先关</w:t>
      </w:r>
      <w:r>
        <w:rPr>
          <w:color w:val="231F20"/>
          <w:spacing w:val="-8"/>
        </w:rPr>
        <w:t>注和保护对象。其中，“濒危物种”是公众视野中出现频率较高的术</w:t>
      </w:r>
      <w:r>
        <w:rPr>
          <w:color w:val="231F20"/>
          <w:spacing w:val="13"/>
        </w:rPr>
        <w:t>语，一般是指数量稀少，分布区很狭窄，在居民区附近难以见到</w:t>
      </w:r>
      <w:r>
        <w:rPr>
          <w:color w:val="231F20"/>
          <w:spacing w:val="12"/>
        </w:rPr>
        <w:t>的物种。</w:t>
      </w:r>
    </w:p>
    <w:p>
      <w:pPr>
        <w:pStyle w:val="BodyText"/>
        <w:spacing w:line="328" w:lineRule="auto"/>
        <w:ind w:left="390" w:right="234" w:firstLine="480"/>
        <w:jc w:val="both"/>
      </w:pPr>
      <w:r>
        <w:rPr>
          <w:color w:val="231F20"/>
        </w:rPr>
        <w:t>教师在教学中应采用多种形式的活动，引导学生理解中国虽然是世界上动植物资源最丰富的国家之一，但按人均资源情况，中国是资源贫乏国家。我国生物物种数量正在以每天一个受胁甚至走向灭绝的速度减少。全球持续变暖会导致部分动植物物种因种种不适应而发生种群数量减少、迁移、生态退化，一些受胁物种难逃灭绝厄运，可能使地球上多达</w:t>
      </w:r>
      <w:r>
        <w:rPr>
          <w:rFonts w:ascii="Times New Roman" w:eastAsia="Times New Roman"/>
          <w:color w:val="231F20"/>
        </w:rPr>
        <w:t xml:space="preserve">1/6 </w:t>
      </w:r>
      <w:r>
        <w:rPr>
          <w:color w:val="231F20"/>
        </w:rPr>
        <w:t>的物种消失。同时，国家为了进一步加强野生动植物保护和受胁物种拯救繁育工作，已建立</w:t>
      </w:r>
      <w:r>
        <w:rPr>
          <w:rFonts w:ascii="Times New Roman" w:eastAsia="Times New Roman"/>
          <w:color w:val="231F20"/>
        </w:rPr>
        <w:t xml:space="preserve">700 </w:t>
      </w:r>
      <w:r>
        <w:rPr>
          <w:color w:val="231F20"/>
        </w:rPr>
        <w:t>多个自然保护区、植物园、动物驯养繁殖中心，</w:t>
      </w:r>
      <w:r>
        <w:rPr>
          <w:rFonts w:ascii="Times New Roman" w:eastAsia="Times New Roman"/>
          <w:color w:val="231F20"/>
        </w:rPr>
        <w:t xml:space="preserve">400 </w:t>
      </w:r>
      <w:r>
        <w:rPr>
          <w:color w:val="231F20"/>
        </w:rPr>
        <w:t>多处珍稀植物迁地保护繁育基地以及种质资源库。另外，教师应该结合当地受胁生物资源的具体情况，分析这些物种对地方的环境、社会经济可持续发展的实际意义。</w:t>
      </w:r>
    </w:p>
    <w:p>
      <w:pPr>
        <w:pStyle w:val="BodyText"/>
        <w:spacing w:line="328" w:lineRule="auto"/>
        <w:ind w:left="390" w:right="238" w:firstLine="480"/>
        <w:jc w:val="both"/>
      </w:pPr>
      <w:r>
        <w:rPr>
          <w:color w:val="231F20"/>
        </w:rPr>
        <w:t>通过本模块学习，学生应该理解，保护受胁生物（特别是当地的）资源对生存环境、生活方式以及可持续发展的重要意义；保护生物资源特别是受胁生物资源，人人有责；从我做起，积极参与到对当地受胁生物资源的保护行动中去。</w:t>
      </w:r>
    </w:p>
    <w:p>
      <w:pPr>
        <w:spacing w:after="0" w:line="328" w:lineRule="auto"/>
        <w:jc w:val="both"/>
        <w:sectPr>
          <w:pgSz w:w="10780" w:h="15090"/>
          <w:pgMar w:top="1260" w:right="1460" w:bottom="1400" w:left="1480" w:header="1029" w:footer="1217"/>
          <w:cols w:space="708"/>
        </w:sectPr>
      </w:pPr>
    </w:p>
    <w:p>
      <w:pPr>
        <w:pStyle w:val="BodyText"/>
        <w:spacing w:before="12"/>
        <w:rPr>
          <w:sz w:val="29"/>
        </w:rPr>
      </w:pPr>
    </w:p>
    <w:p>
      <w:pPr>
        <w:pStyle w:val="Heading3"/>
        <w:spacing w:before="71"/>
      </w:pPr>
      <w:r>
        <w:rPr>
          <w:color w:val="231F20"/>
        </w:rPr>
        <w:t>学业发展基础</w:t>
      </w:r>
    </w:p>
    <w:p>
      <w:pPr>
        <w:pStyle w:val="BodyText"/>
        <w:spacing w:before="10"/>
        <w:rPr>
          <w:sz w:val="30"/>
        </w:rPr>
      </w:pPr>
    </w:p>
    <w:p>
      <w:pPr>
        <w:pStyle w:val="ListParagraph"/>
        <w:numPr>
          <w:ilvl w:val="0"/>
          <w:numId w:val="21"/>
        </w:numPr>
        <w:tabs>
          <w:tab w:val="left" w:pos="902"/>
        </w:tabs>
        <w:spacing w:before="0" w:after="0" w:line="240" w:lineRule="auto"/>
        <w:ind w:left="901" w:right="0" w:hanging="202"/>
        <w:jc w:val="both"/>
        <w:rPr>
          <w:sz w:val="24"/>
        </w:rPr>
      </w:pPr>
      <w:r>
        <w:rPr>
          <w:color w:val="231F20"/>
          <w:sz w:val="24"/>
        </w:rPr>
        <w:t>“细胞与分子生物学”模块开设建议（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220" w:right="408" w:firstLine="480"/>
        <w:jc w:val="both"/>
      </w:pPr>
      <w:r>
        <w:rPr>
          <w:color w:val="231F20"/>
          <w:spacing w:val="30"/>
        </w:rPr>
        <w:t>自</w:t>
      </w:r>
      <w:r>
        <w:rPr>
          <w:rFonts w:ascii="Times New Roman" w:eastAsia="Times New Roman"/>
          <w:color w:val="231F20"/>
        </w:rPr>
        <w:t xml:space="preserve">1953 </w:t>
      </w:r>
      <w:r>
        <w:rPr>
          <w:color w:val="231F20"/>
        </w:rPr>
        <w:t>年沃森（</w:t>
      </w:r>
      <w:r>
        <w:rPr>
          <w:rFonts w:ascii="Times New Roman" w:eastAsia="Times New Roman"/>
          <w:color w:val="231F20"/>
        </w:rPr>
        <w:t>J.D.</w:t>
      </w:r>
      <w:r>
        <w:rPr>
          <w:rFonts w:ascii="Times New Roman" w:eastAsia="Times New Roman"/>
          <w:color w:val="231F20"/>
          <w:spacing w:val="52"/>
        </w:rPr>
        <w:t xml:space="preserve"> </w:t>
      </w:r>
      <w:r>
        <w:rPr>
          <w:rFonts w:ascii="Times New Roman" w:eastAsia="Times New Roman"/>
          <w:color w:val="231F20"/>
          <w:spacing w:val="-3"/>
        </w:rPr>
        <w:t>Watson</w:t>
      </w:r>
      <w:r>
        <w:rPr>
          <w:color w:val="231F20"/>
          <w:spacing w:val="-3"/>
        </w:rPr>
        <w:t>）</w:t>
      </w:r>
      <w:r>
        <w:rPr>
          <w:color w:val="231F20"/>
        </w:rPr>
        <w:t>和克里克</w:t>
      </w:r>
      <w:r>
        <w:rPr>
          <w:color w:val="231F20"/>
          <w:spacing w:val="-7"/>
        </w:rPr>
        <w:t>（</w:t>
      </w:r>
      <w:r>
        <w:rPr>
          <w:rFonts w:ascii="Times New Roman" w:eastAsia="Times New Roman"/>
          <w:color w:val="231F20"/>
          <w:spacing w:val="-7"/>
        </w:rPr>
        <w:t>F</w:t>
      </w:r>
      <w:r>
        <w:rPr>
          <w:rFonts w:ascii="Times New Roman" w:eastAsia="Times New Roman"/>
          <w:color w:val="231F20"/>
          <w:spacing w:val="-1"/>
        </w:rPr>
        <w:t xml:space="preserve">. </w:t>
      </w:r>
      <w:r>
        <w:rPr>
          <w:rFonts w:ascii="Times New Roman" w:eastAsia="Times New Roman"/>
          <w:color w:val="231F20"/>
        </w:rPr>
        <w:t>Crick</w:t>
      </w:r>
      <w:r>
        <w:rPr>
          <w:color w:val="231F20"/>
        </w:rPr>
        <w:t>）</w:t>
      </w:r>
      <w:r>
        <w:rPr>
          <w:color w:val="231F20"/>
          <w:spacing w:val="10"/>
        </w:rPr>
        <w:t>发现了</w:t>
      </w:r>
      <w:r>
        <w:rPr>
          <w:rFonts w:ascii="Times New Roman" w:eastAsia="Times New Roman"/>
          <w:color w:val="231F20"/>
          <w:spacing w:val="-6"/>
        </w:rPr>
        <w:t xml:space="preserve">DNA </w:t>
      </w:r>
      <w:r>
        <w:rPr>
          <w:color w:val="231F20"/>
          <w:spacing w:val="-1"/>
        </w:rPr>
        <w:t>双螺旋结构以后，生命科学才真正进入了分子生物学阶段。目前，分子生物学理论是学好其他许多生命科学分支学科的基础，而分子生物学技术又成为我们研究生命、认识生命甚至改造生命的一个强有力的</w:t>
      </w:r>
      <w:r>
        <w:rPr>
          <w:color w:val="231F20"/>
        </w:rPr>
        <w:t>工具，具有广泛的应用前景和极高的应用价值。</w:t>
      </w:r>
    </w:p>
    <w:p>
      <w:pPr>
        <w:pStyle w:val="BodyText"/>
        <w:spacing w:line="328" w:lineRule="auto"/>
        <w:ind w:left="220" w:right="406" w:firstLine="480"/>
        <w:jc w:val="both"/>
      </w:pPr>
      <w:r>
        <w:rPr>
          <w:color w:val="231F20"/>
          <w:spacing w:val="-1"/>
        </w:rPr>
        <w:t>本模块的内容侧重细胞生命活动的分子机制，以“中心法则”为</w:t>
      </w:r>
      <w:r>
        <w:rPr>
          <w:color w:val="231F20"/>
          <w:spacing w:val="6"/>
        </w:rPr>
        <w:t>主线，包括</w:t>
      </w:r>
      <w:r>
        <w:rPr>
          <w:rFonts w:ascii="Times New Roman" w:eastAsia="Times New Roman" w:hAnsi="Times New Roman"/>
          <w:color w:val="231F20"/>
          <w:spacing w:val="-3"/>
        </w:rPr>
        <w:t>DNA</w:t>
      </w:r>
      <w:r>
        <w:rPr>
          <w:rFonts w:ascii="Times New Roman" w:eastAsia="Times New Roman" w:hAnsi="Times New Roman"/>
          <w:color w:val="231F20"/>
          <w:spacing w:val="-27"/>
        </w:rPr>
        <w:t xml:space="preserve"> </w:t>
      </w:r>
      <w:r>
        <w:rPr>
          <w:color w:val="231F20"/>
        </w:rPr>
        <w:t>复制、</w:t>
      </w:r>
      <w:r>
        <w:rPr>
          <w:rFonts w:ascii="Times New Roman" w:eastAsia="Times New Roman" w:hAnsi="Times New Roman"/>
          <w:color w:val="231F20"/>
          <w:spacing w:val="-3"/>
        </w:rPr>
        <w:t>DNA</w:t>
      </w:r>
      <w:r>
        <w:rPr>
          <w:rFonts w:ascii="Times New Roman" w:eastAsia="Times New Roman" w:hAnsi="Times New Roman"/>
          <w:color w:val="231F20"/>
          <w:spacing w:val="-26"/>
        </w:rPr>
        <w:t xml:space="preserve"> </w:t>
      </w:r>
      <w:r>
        <w:rPr>
          <w:color w:val="231F20"/>
        </w:rPr>
        <w:t>损伤及其修复、</w:t>
      </w:r>
      <w:r>
        <w:rPr>
          <w:rFonts w:ascii="Times New Roman" w:eastAsia="Times New Roman" w:hAnsi="Times New Roman"/>
          <w:color w:val="231F20"/>
          <w:spacing w:val="-3"/>
        </w:rPr>
        <w:t>DNA</w:t>
      </w:r>
      <w:r>
        <w:rPr>
          <w:rFonts w:ascii="Times New Roman" w:eastAsia="Times New Roman" w:hAnsi="Times New Roman"/>
          <w:color w:val="231F20"/>
          <w:spacing w:val="-26"/>
        </w:rPr>
        <w:t xml:space="preserve"> </w:t>
      </w:r>
      <w:r>
        <w:rPr>
          <w:color w:val="231F20"/>
        </w:rPr>
        <w:t>突变、转录、逆转录、翻译和基因表达调控等。</w:t>
      </w:r>
    </w:p>
    <w:p>
      <w:pPr>
        <w:pStyle w:val="BodyText"/>
        <w:spacing w:line="328" w:lineRule="auto"/>
        <w:ind w:left="221" w:right="396" w:firstLine="480"/>
        <w:jc w:val="both"/>
      </w:pPr>
      <w:r>
        <w:rPr>
          <w:color w:val="231F20"/>
        </w:rPr>
        <w:t>教师在教学中要注意紧扣“中心法则”和“碱基互补配对”原则，利用分子生物学中的“分子逻辑”，从结构决定功能的高度，结合模型和多媒体手段，深入浅出地介绍相关的分子生物学原理。提倡理论联系实际，尽可能组织一些探究实验和课外活动，如</w:t>
      </w:r>
      <w:r>
        <w:rPr>
          <w:rFonts w:ascii="Times New Roman" w:eastAsia="Times New Roman" w:hAnsi="Times New Roman"/>
          <w:color w:val="231F20"/>
        </w:rPr>
        <w:t xml:space="preserve">DNA </w:t>
      </w:r>
      <w:r>
        <w:rPr>
          <w:color w:val="231F20"/>
        </w:rPr>
        <w:t>指纹分析；要引导学生利用所学过的知识去关注和探讨与分子生物学有关的社会热点问题，如艾滋病病毒、埃博拉病毒和流感病毒等，以帮助学生丰富相关知识，加深对科学、技术和社会相互关系的认识。</w:t>
      </w:r>
    </w:p>
    <w:p>
      <w:pPr>
        <w:pStyle w:val="BodyText"/>
        <w:spacing w:line="328" w:lineRule="auto"/>
        <w:ind w:left="221" w:right="288" w:firstLine="480"/>
      </w:pPr>
      <w:r>
        <w:rPr>
          <w:color w:val="231F20"/>
        </w:rPr>
        <w:t>对本模块的学习，可激发学生对生命科学的热爱，理解三种生物大分子——</w:t>
      </w:r>
      <w:r>
        <w:rPr>
          <w:rFonts w:ascii="Times New Roman" w:eastAsia="Times New Roman" w:hAnsi="Times New Roman"/>
          <w:color w:val="231F20"/>
        </w:rPr>
        <w:t>DNA</w:t>
      </w:r>
      <w:r>
        <w:rPr>
          <w:color w:val="231F20"/>
        </w:rPr>
        <w:t>、</w:t>
      </w:r>
      <w:r>
        <w:rPr>
          <w:rFonts w:ascii="Times New Roman" w:eastAsia="Times New Roman" w:hAnsi="Times New Roman"/>
          <w:color w:val="231F20"/>
        </w:rPr>
        <w:t xml:space="preserve">RNA </w:t>
      </w:r>
      <w:r>
        <w:rPr>
          <w:color w:val="231F20"/>
        </w:rPr>
        <w:t>和蛋白质在细胞内的功能分工和相互关系， 真正理解生命的本质；能更好地理解各种分子生物学技术，如聚合酶链式反应（</w:t>
      </w:r>
      <w:r>
        <w:rPr>
          <w:rFonts w:ascii="Times New Roman" w:eastAsia="Times New Roman" w:hAnsi="Times New Roman"/>
          <w:color w:val="231F20"/>
        </w:rPr>
        <w:t>PCR</w:t>
      </w:r>
      <w:r>
        <w:rPr>
          <w:color w:val="231F20"/>
        </w:rPr>
        <w:t>）、通过基因的定点突变以改造或改良蛋白质，以及利用小卫星</w:t>
      </w:r>
      <w:r>
        <w:rPr>
          <w:rFonts w:ascii="Times New Roman" w:eastAsia="Times New Roman" w:hAnsi="Times New Roman"/>
          <w:color w:val="231F20"/>
        </w:rPr>
        <w:t xml:space="preserve">DNA </w:t>
      </w:r>
      <w:r>
        <w:rPr>
          <w:color w:val="231F20"/>
        </w:rPr>
        <w:t>进行</w:t>
      </w:r>
      <w:r>
        <w:rPr>
          <w:rFonts w:ascii="Times New Roman" w:eastAsia="Times New Roman" w:hAnsi="Times New Roman"/>
          <w:color w:val="231F20"/>
        </w:rPr>
        <w:t xml:space="preserve">DNA </w:t>
      </w:r>
      <w:r>
        <w:rPr>
          <w:color w:val="231F20"/>
        </w:rPr>
        <w:t>指纹分析等。</w:t>
      </w:r>
    </w:p>
    <w:p>
      <w:pPr>
        <w:pStyle w:val="BodyText"/>
        <w:spacing w:before="8"/>
        <w:rPr>
          <w:sz w:val="23"/>
        </w:rPr>
      </w:pPr>
    </w:p>
    <w:p>
      <w:pPr>
        <w:pStyle w:val="ListParagraph"/>
        <w:numPr>
          <w:ilvl w:val="0"/>
          <w:numId w:val="21"/>
        </w:numPr>
        <w:tabs>
          <w:tab w:val="left" w:pos="903"/>
        </w:tabs>
        <w:spacing w:before="0" w:after="0" w:line="240" w:lineRule="auto"/>
        <w:ind w:left="902" w:right="0" w:hanging="202"/>
        <w:jc w:val="both"/>
        <w:rPr>
          <w:sz w:val="24"/>
        </w:rPr>
      </w:pPr>
      <w:r>
        <w:rPr>
          <w:color w:val="231F20"/>
          <w:sz w:val="24"/>
        </w:rPr>
        <w:t>“生物信息学与人类基因组”模块开设建议（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221" w:right="408" w:firstLine="480"/>
        <w:jc w:val="both"/>
      </w:pPr>
      <w:r>
        <w:rPr>
          <w:color w:val="231F20"/>
        </w:rPr>
        <w:t>生命科学的发展带来了各种生物数据的爆炸性增长，未来还将以越来越快的速度增长。然而，数据并不等于知识，其增长所带来的挑战包括海量数据的存储、管理、共享，特别是如何将这些数据变为生</w:t>
      </w:r>
    </w:p>
    <w:p>
      <w:pPr>
        <w:spacing w:after="0" w:line="328" w:lineRule="auto"/>
        <w:jc w:val="both"/>
        <w:sectPr>
          <w:pgSz w:w="10780" w:h="15090"/>
          <w:pgMar w:top="1260" w:right="1460" w:bottom="1400" w:left="1480" w:header="989" w:footer="1217"/>
          <w:cols w:space="708"/>
        </w:sectPr>
      </w:pPr>
    </w:p>
    <w:p>
      <w:pPr>
        <w:pStyle w:val="BodyText"/>
        <w:spacing w:before="10"/>
        <w:rPr>
          <w:sz w:val="29"/>
        </w:rPr>
      </w:pPr>
    </w:p>
    <w:p>
      <w:pPr>
        <w:pStyle w:val="BodyText"/>
        <w:spacing w:before="67"/>
        <w:ind w:left="390"/>
      </w:pPr>
      <w:r>
        <w:rPr>
          <w:color w:val="231F20"/>
        </w:rPr>
        <w:t>物学知识。</w:t>
      </w:r>
    </w:p>
    <w:p>
      <w:pPr>
        <w:pStyle w:val="BodyText"/>
        <w:spacing w:before="113" w:line="328" w:lineRule="auto"/>
        <w:ind w:left="390" w:right="220" w:firstLine="480"/>
        <w:jc w:val="both"/>
      </w:pPr>
      <w:r>
        <w:rPr>
          <w:color w:val="231F20"/>
        </w:rPr>
        <w:t>生物信息学是以计算机为工具，用数理及信息科学的理论和方法研究生命现象，对生物信息进行存储、检索、分析和整合的一门学科。其核心内容是基因组信息学，包括基因组（如人类基因组）信息的获取、处理、存储、分配和解读。基因组信息学的关键是“读懂”基因组的碱基顺序，包括全部基因在染色体上的确切位置以及各</w:t>
      </w:r>
      <w:r>
        <w:rPr>
          <w:rFonts w:ascii="Times New Roman" w:eastAsia="Times New Roman" w:hAnsi="Times New Roman"/>
          <w:color w:val="231F20"/>
        </w:rPr>
        <w:t xml:space="preserve">DNA </w:t>
      </w:r>
      <w:r>
        <w:rPr>
          <w:color w:val="231F20"/>
        </w:rPr>
        <w:t>片段的功能；同时测量这些基因的转录和翻译活动信息，以及进行蛋白质三维结构模拟和预测，然后依据特定蛋白质的功能进行药物设计等。</w:t>
      </w:r>
    </w:p>
    <w:p>
      <w:pPr>
        <w:pStyle w:val="BodyText"/>
        <w:spacing w:line="328" w:lineRule="auto"/>
        <w:ind w:left="390" w:right="119" w:firstLine="480"/>
      </w:pPr>
      <w:r>
        <w:rPr>
          <w:color w:val="231F20"/>
        </w:rPr>
        <w:t>对本模块内容的学习，可以让学生了解生物信息学和人类基因组的基本概况，让学生掌握基因组测序原理、</w:t>
      </w:r>
      <w:r>
        <w:rPr>
          <w:rFonts w:ascii="Times New Roman" w:eastAsia="Times New Roman"/>
          <w:color w:val="231F20"/>
        </w:rPr>
        <w:t xml:space="preserve">DNA </w:t>
      </w:r>
      <w:r>
        <w:rPr>
          <w:color w:val="231F20"/>
        </w:rPr>
        <w:t>和蛋白质序列分析、蛋白质结构预测和系统发育树分析的基本原理和方法。教师在教学中要注意结合具体的案例进行分析，利用互联网上各种数据库的数据， 来阐明和理解大量生物数据所包含的生物学意义，并应用于解决生命科学研究和生物技术相关产业中的各种问题，为学生进一步深造学习、获得职业技能等奠定基础。</w:t>
      </w:r>
    </w:p>
    <w:p>
      <w:pPr>
        <w:pStyle w:val="BodyText"/>
        <w:spacing w:before="2"/>
      </w:pPr>
    </w:p>
    <w:p>
      <w:pPr>
        <w:pStyle w:val="ListParagraph"/>
        <w:numPr>
          <w:ilvl w:val="0"/>
          <w:numId w:val="21"/>
        </w:numPr>
        <w:tabs>
          <w:tab w:val="left" w:pos="1072"/>
        </w:tabs>
        <w:spacing w:before="0" w:after="0" w:line="240" w:lineRule="auto"/>
        <w:ind w:left="1071" w:right="0" w:hanging="202"/>
        <w:jc w:val="left"/>
        <w:rPr>
          <w:sz w:val="24"/>
        </w:rPr>
      </w:pPr>
      <w:r>
        <w:rPr>
          <w:color w:val="231F20"/>
          <w:sz w:val="24"/>
        </w:rPr>
        <w:t>“神经系统与疾病”模块开设建议（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8" w:line="328" w:lineRule="auto"/>
        <w:ind w:left="390" w:right="118" w:firstLine="480"/>
      </w:pPr>
      <w:r>
        <w:rPr>
          <w:color w:val="231F20"/>
        </w:rPr>
        <w:t>神经系统协调人体内部各器官的功能以适应内、外环境的变化， 起着“司令部”的作用。凡是能够损伤和破坏神经系统的各种因素都会引起神经系统疾病。近年来神经系统疾病患者逐年增加，尤其是精神方面的疾病及成瘾性疾病。对神经系统及其与疾病相关性的了解有助于从保护神经系统的角度，保持健康的生活习惯，远离毒品。</w:t>
      </w:r>
    </w:p>
    <w:p>
      <w:pPr>
        <w:pStyle w:val="BodyText"/>
        <w:spacing w:line="328" w:lineRule="auto"/>
        <w:ind w:left="390" w:right="117" w:firstLine="480"/>
        <w:jc w:val="both"/>
      </w:pPr>
      <w:r>
        <w:rPr>
          <w:color w:val="231F20"/>
        </w:rPr>
        <w:t>本模块的内容侧重于神经系统疾病的发生和预防。发生于中枢神经系统和周围神经系统的，以感觉、运动、意识、自主神经功能障碍为主要表现的疾病，称为神经病；而中枢神经系统受致病因素影响发生以精神活动障碍为主要表现的疾病，称为精神病。上述疾病的病因有多种，如感染、外伤、中毒、免疫损伤、遗传缺陷及营养障碍等。</w:t>
      </w:r>
    </w:p>
    <w:p>
      <w:pPr>
        <w:spacing w:after="0" w:line="328" w:lineRule="auto"/>
        <w:jc w:val="both"/>
        <w:sectPr>
          <w:pgSz w:w="10780" w:h="15090"/>
          <w:pgMar w:top="1260" w:right="1460" w:bottom="1400" w:left="1480" w:header="1029" w:footer="1217"/>
          <w:cols w:space="708"/>
        </w:sectPr>
      </w:pPr>
    </w:p>
    <w:p>
      <w:pPr>
        <w:pStyle w:val="BodyText"/>
        <w:rPr>
          <w:sz w:val="20"/>
        </w:rPr>
      </w:pPr>
    </w:p>
    <w:p>
      <w:pPr>
        <w:pStyle w:val="BodyText"/>
        <w:spacing w:before="203" w:line="328" w:lineRule="auto"/>
        <w:ind w:left="220" w:right="290"/>
      </w:pPr>
      <w:r>
        <w:rPr>
          <w:color w:val="231F20"/>
        </w:rPr>
        <w:t>中毒包括金属中毒和有机物中毒，如毒品。精神类疾病包括强迫症、抑郁症等，神经类疾病包括慢性神经炎、神经末梢炎、肌肉震颤、神经性头痛、帕金森病、癫痫等。此外，人体其他系统的失调也可能导致神经系统疾病，如胃溃疡等。由于神经细胞损伤后不易再生，许多神经系统疾病仍无有效疗法。</w:t>
      </w:r>
    </w:p>
    <w:p>
      <w:pPr>
        <w:pStyle w:val="BodyText"/>
        <w:spacing w:line="328" w:lineRule="auto"/>
        <w:ind w:left="220" w:right="290" w:firstLine="480"/>
      </w:pPr>
      <w:r>
        <w:rPr>
          <w:color w:val="231F20"/>
        </w:rPr>
        <w:t>教师在教学中要注意紧扣神经系统是人体内起主导作用的系统。一方面它控制与调节各器官、系统的活动，使人体成为一个统一的整体；另一方面神经系统的分析与综合，使机体对环境变化的刺激作出相应的反应，达到与环境的统一。神经系统的疾病对人体的危害很大，且不易治疗。在联系实际方面，教师应介绍滥用药物，包括毒品，可造成药物成瘾，成为慢性、复发性的强迫行为，成瘾后对神经系统造成损伤。引导学生认识到药物成瘾不仅是生物医学问题，更是广泛的社会问题。教育学生注意心理健康，树立正确世界观、人生观和价值观，预防精神类疾病的发生。</w:t>
      </w:r>
    </w:p>
    <w:p>
      <w:pPr>
        <w:pStyle w:val="BodyText"/>
        <w:spacing w:line="328" w:lineRule="auto"/>
        <w:ind w:left="220" w:right="288" w:firstLine="480"/>
      </w:pPr>
      <w:r>
        <w:rPr>
          <w:color w:val="231F20"/>
        </w:rPr>
        <w:t>对本模块的学习，有助于学生了解神经系统疾病的成因和危害， 从而保护神经系统不受损伤。</w:t>
      </w:r>
    </w:p>
    <w:p>
      <w:pPr>
        <w:pStyle w:val="BodyText"/>
        <w:spacing w:before="1"/>
      </w:pPr>
    </w:p>
    <w:p>
      <w:pPr>
        <w:pStyle w:val="ListParagraph"/>
        <w:numPr>
          <w:ilvl w:val="0"/>
          <w:numId w:val="21"/>
        </w:numPr>
        <w:tabs>
          <w:tab w:val="left" w:pos="902"/>
        </w:tabs>
        <w:spacing w:before="0" w:after="0" w:line="240" w:lineRule="auto"/>
        <w:ind w:left="901" w:right="0" w:hanging="202"/>
        <w:jc w:val="both"/>
        <w:rPr>
          <w:sz w:val="24"/>
        </w:rPr>
      </w:pPr>
      <w:r>
        <w:rPr>
          <w:color w:val="231F20"/>
          <w:sz w:val="24"/>
        </w:rPr>
        <w:t>“干细胞与应用”模块开设建议（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220" w:right="408" w:firstLine="480"/>
        <w:jc w:val="both"/>
      </w:pPr>
      <w:r>
        <w:rPr>
          <w:color w:val="231F20"/>
        </w:rPr>
        <w:t>干细胞是一类具有自我复制能力并能分化成其他类型功能细胞的多潜能细胞，因而具有巨大的基础研究价值和临床应用前景。干细胞研究也是目前全球范围内生物医学领域的热点和焦点。学习和了解干细胞相关知识是培养新世纪生物学科人才所必需的。</w:t>
      </w:r>
    </w:p>
    <w:p>
      <w:pPr>
        <w:pStyle w:val="BodyText"/>
        <w:spacing w:line="328" w:lineRule="auto"/>
        <w:ind w:left="220" w:right="290" w:firstLine="480"/>
      </w:pPr>
      <w:r>
        <w:rPr>
          <w:color w:val="231F20"/>
        </w:rPr>
        <w:t>本模块的内容包括干细胞的定义、基本特征、分类、生长和分化机制及应用。干细胞在特定的条件下，能分化成多种类型的细胞。根据干细胞所处的发育阶段可分为胚胎干细胞和成体干细胞；根据干细胞的发育潜能可分为三类：全能干细胞、多能干细胞和单能干细胞。干细胞的应用领域包括发育生物学研究的体外模型、指导药物的研制和应用、器官克隆、细胞治疗、组织再生和修复等。课程内容还应扩</w:t>
      </w:r>
    </w:p>
    <w:p>
      <w:pPr>
        <w:spacing w:after="0" w:line="328" w:lineRule="auto"/>
        <w:sectPr>
          <w:pgSz w:w="10780" w:h="15090"/>
          <w:pgMar w:top="1260" w:right="1460" w:bottom="1400" w:left="1480" w:header="989" w:footer="1217"/>
          <w:cols w:space="708"/>
        </w:sectPr>
      </w:pPr>
    </w:p>
    <w:p>
      <w:pPr>
        <w:pStyle w:val="BodyText"/>
        <w:spacing w:before="10"/>
        <w:rPr>
          <w:sz w:val="29"/>
        </w:rPr>
      </w:pPr>
    </w:p>
    <w:p>
      <w:pPr>
        <w:pStyle w:val="BodyText"/>
        <w:spacing w:before="67" w:line="328" w:lineRule="auto"/>
        <w:ind w:left="870" w:right="238" w:hanging="480"/>
      </w:pPr>
      <w:r>
        <w:rPr>
          <w:color w:val="231F20"/>
        </w:rPr>
        <w:t xml:space="preserve">展讨论干细胞应用中可能存在的潜在危险，以及产生的伦理问题。 </w:t>
      </w:r>
      <w:r>
        <w:rPr>
          <w:color w:val="231F20"/>
          <w:spacing w:val="-1"/>
        </w:rPr>
        <w:t>教师在教学活动中要突出如下基本概念：胚胎干细胞在不同发育</w:t>
      </w:r>
    </w:p>
    <w:p>
      <w:pPr>
        <w:pStyle w:val="BodyText"/>
        <w:spacing w:line="328" w:lineRule="auto"/>
        <w:ind w:left="390" w:right="228"/>
        <w:jc w:val="both"/>
      </w:pPr>
      <w:r>
        <w:rPr>
          <w:color w:val="231F20"/>
          <w:spacing w:val="5"/>
        </w:rPr>
        <w:t>阶段中的潜能差异，干细胞分化的机制及条件等。目前人类胚胎干</w:t>
      </w:r>
      <w:r>
        <w:rPr>
          <w:color w:val="231F20"/>
          <w:spacing w:val="7"/>
        </w:rPr>
        <w:t>细胞已能成功地在体外培养，成体干细胞可以横向分化为其他类型</w:t>
      </w:r>
      <w:r>
        <w:rPr>
          <w:color w:val="231F20"/>
          <w:spacing w:val="3"/>
        </w:rPr>
        <w:t>的细胞和组织，甚至成体细胞也可以逆转化为诱导多能干细胞</w:t>
      </w:r>
      <w:r>
        <w:rPr>
          <w:color w:val="231F20"/>
        </w:rPr>
        <w:t>（</w:t>
      </w:r>
      <w:r>
        <w:rPr>
          <w:rFonts w:ascii="Times New Roman" w:eastAsia="Times New Roman"/>
          <w:color w:val="231F20"/>
        </w:rPr>
        <w:t xml:space="preserve">iPS </w:t>
      </w:r>
      <w:r>
        <w:rPr>
          <w:rFonts w:ascii="Times New Roman" w:eastAsia="Times New Roman"/>
          <w:color w:val="231F20"/>
          <w:w w:val="100"/>
        </w:rPr>
        <w:t>cell</w:t>
      </w:r>
      <w:r>
        <w:rPr>
          <w:color w:val="231F20"/>
          <w:spacing w:val="-90"/>
        </w:rPr>
        <w:t>）</w:t>
      </w:r>
      <w:r>
        <w:rPr>
          <w:color w:val="231F20"/>
          <w:spacing w:val="7"/>
        </w:rPr>
        <w:t>，这些成果为干细胞广泛的临床应用提供了基础。同时，教师</w:t>
      </w:r>
      <w:r>
        <w:rPr>
          <w:color w:val="231F20"/>
        </w:rPr>
        <w:t>也应强调干细胞研究的社会价值和意义。</w:t>
      </w:r>
    </w:p>
    <w:p>
      <w:pPr>
        <w:pStyle w:val="BodyText"/>
        <w:spacing w:line="328" w:lineRule="auto"/>
        <w:ind w:left="390" w:right="240" w:firstLine="480"/>
        <w:jc w:val="both"/>
      </w:pPr>
      <w:r>
        <w:rPr>
          <w:color w:val="231F20"/>
          <w:spacing w:val="-11"/>
        </w:rPr>
        <w:t>对本模块的学习，可以使学生了解和认识干细胞的基本概念，干细</w:t>
      </w:r>
      <w:r>
        <w:rPr>
          <w:color w:val="231F20"/>
          <w:spacing w:val="-10"/>
        </w:rPr>
        <w:t>胞生长和分化的机制，干细胞目前的研究进展，干细胞的临床应用及相</w:t>
      </w:r>
      <w:r>
        <w:rPr>
          <w:color w:val="231F20"/>
          <w:spacing w:val="-12"/>
        </w:rPr>
        <w:t>关疾病治疗。</w:t>
      </w:r>
    </w:p>
    <w:p>
      <w:pPr>
        <w:pStyle w:val="BodyText"/>
        <w:spacing w:before="9"/>
      </w:pPr>
    </w:p>
    <w:p>
      <w:pPr>
        <w:pStyle w:val="ListParagraph"/>
        <w:numPr>
          <w:ilvl w:val="0"/>
          <w:numId w:val="21"/>
        </w:numPr>
        <w:tabs>
          <w:tab w:val="left" w:pos="1072"/>
        </w:tabs>
        <w:spacing w:before="0" w:after="0" w:line="240" w:lineRule="auto"/>
        <w:ind w:left="1071" w:right="0" w:hanging="202"/>
        <w:jc w:val="both"/>
        <w:rPr>
          <w:sz w:val="24"/>
        </w:rPr>
      </w:pPr>
      <w:r>
        <w:rPr>
          <w:color w:val="231F20"/>
          <w:sz w:val="24"/>
        </w:rPr>
        <w:t>“植物组织培养”模块开设建议（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390" w:right="238" w:firstLine="480"/>
        <w:jc w:val="both"/>
      </w:pPr>
      <w:r>
        <w:rPr>
          <w:color w:val="231F20"/>
        </w:rPr>
        <w:t>植物组织培养由于不需要昂贵的仪器设备和药品，投资少，可以在短时期内不受自然条件限制培育出大量具有优良性状的幼苗，以及进行植物去病毒处理，因此在名贵花卉、果蔬和中药材植物等的迅速扩大繁殖等方面发挥了重要的作用。</w:t>
      </w:r>
    </w:p>
    <w:p>
      <w:pPr>
        <w:pStyle w:val="BodyText"/>
        <w:spacing w:line="328" w:lineRule="auto"/>
        <w:ind w:left="390" w:right="142" w:firstLine="480"/>
      </w:pPr>
      <w:r>
        <w:rPr>
          <w:color w:val="231F20"/>
          <w:spacing w:val="-12"/>
        </w:rPr>
        <w:t>本模块应包括培养基配制、植物外植体的选择、外植体的消毒、外</w:t>
      </w:r>
      <w:r>
        <w:rPr>
          <w:color w:val="231F20"/>
          <w:spacing w:val="-13"/>
        </w:rPr>
        <w:t>植体无菌切割、愈伤组织培养、愈伤组织增殖和诱导分化、炼苗等内容。</w:t>
      </w:r>
    </w:p>
    <w:p>
      <w:pPr>
        <w:pStyle w:val="BodyText"/>
        <w:spacing w:line="328" w:lineRule="auto"/>
        <w:ind w:left="390" w:right="238" w:firstLine="480"/>
        <w:jc w:val="both"/>
      </w:pPr>
      <w:r>
        <w:rPr>
          <w:color w:val="231F20"/>
        </w:rPr>
        <w:t>教师在教学中可以播放植物组织培养的视频，组织学生逐段观看和讨论，强调无菌操作是组织培养贯穿始终的关键因素；根据当地的实际情况组织学生参观植物组织培养的现场，请技术人员讲解植物组织培养的要领；可组建自己的植物组织培养实验室；组织学生分组讨论，提出植物组织培养的实验方案，教师指导修订该方案，提供必需的实验器具和药品，让学生亲自动手领悟植物组织培养的全过程，体会科学研究的艰辛与成功的乐趣。</w:t>
      </w:r>
    </w:p>
    <w:p>
      <w:pPr>
        <w:pStyle w:val="BodyText"/>
        <w:spacing w:line="328" w:lineRule="auto"/>
        <w:ind w:left="390" w:right="238" w:firstLine="480"/>
        <w:jc w:val="both"/>
      </w:pPr>
      <w:r>
        <w:rPr>
          <w:color w:val="231F20"/>
        </w:rPr>
        <w:t>对本模块的学习，有利于学生掌握无菌操作的要领，基本了解植物组织培养的过程，为他们日后从事相关或类似的研究和工作奠定良好的基础。</w:t>
      </w:r>
    </w:p>
    <w:p>
      <w:pPr>
        <w:spacing w:after="0" w:line="328" w:lineRule="auto"/>
        <w:jc w:val="both"/>
        <w:sectPr>
          <w:pgSz w:w="10780" w:h="15090"/>
          <w:pgMar w:top="1260" w:right="1460" w:bottom="1400" w:left="1480" w:header="1029" w:footer="1217"/>
          <w:cols w:space="708"/>
        </w:sectPr>
      </w:pPr>
    </w:p>
    <w:p>
      <w:pPr>
        <w:pStyle w:val="BodyText"/>
        <w:spacing w:before="10"/>
        <w:rPr>
          <w:sz w:val="29"/>
        </w:rPr>
      </w:pPr>
    </w:p>
    <w:p>
      <w:pPr>
        <w:pStyle w:val="ListParagraph"/>
        <w:numPr>
          <w:ilvl w:val="0"/>
          <w:numId w:val="21"/>
        </w:numPr>
        <w:tabs>
          <w:tab w:val="left" w:pos="902"/>
        </w:tabs>
        <w:spacing w:before="78" w:after="0" w:line="240" w:lineRule="auto"/>
        <w:ind w:left="901" w:right="0" w:hanging="202"/>
        <w:jc w:val="both"/>
        <w:rPr>
          <w:sz w:val="24"/>
        </w:rPr>
      </w:pPr>
      <w:r>
        <w:rPr>
          <w:color w:val="231F20"/>
          <w:sz w:val="24"/>
        </w:rPr>
        <w:t>“生态安全”模块开设建议（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220" w:right="400" w:firstLine="480"/>
        <w:jc w:val="both"/>
      </w:pPr>
      <w:r>
        <w:rPr>
          <w:color w:val="231F20"/>
        </w:rPr>
        <w:t>生态安全是人类在生产、生活和健康等方面不受生态破坏与环境污染等影响的保障程度，包括饮用水与食物安全、空气质量与绿色环境、水资源可持续利用、生态系统的稳定性等基本要素。随着城市化进程的加快和人口的增加，人类赖以生存和发展的环境不断发生变化，资源、环境、人口等社会经济问题也日益尖锐，环境问题已成为影响生态安全，影响可持续发展的重要因素之一。</w:t>
      </w:r>
    </w:p>
    <w:p>
      <w:pPr>
        <w:pStyle w:val="BodyText"/>
        <w:spacing w:line="328" w:lineRule="auto"/>
        <w:ind w:left="220" w:right="290" w:firstLine="480"/>
      </w:pPr>
      <w:r>
        <w:rPr>
          <w:color w:val="231F20"/>
        </w:rPr>
        <w:t>在过去几十年的发展过程中，人类无节制地开发生物资源、过度放牧等，使得生态系统严重退化，土地荒漠化，生物多样性减少，种种潜在的危机迫使人们不得不重视生态安全问题。学校的生态安全教育应在全面认识自然、社会和学生心理基础上，依据现实社会的需要去实施，教育学生从自身做起，为保护人类共同生存的家园，贡献自己的力量。生态安全教育的内容可以涵盖生态与环境、人类与环境、动植物与环境、资源和能源危机、人口危机和生态平衡等。</w:t>
      </w:r>
    </w:p>
    <w:p>
      <w:pPr>
        <w:pStyle w:val="BodyText"/>
        <w:spacing w:line="328" w:lineRule="auto"/>
        <w:ind w:left="220" w:right="399" w:firstLine="480"/>
        <w:jc w:val="both"/>
      </w:pPr>
      <w:r>
        <w:rPr>
          <w:color w:val="231F20"/>
        </w:rPr>
        <w:t>学校的生态安全教育应从实际出发，遵循教育的基本规律，既要适合学生的年龄、生理、心理水平，同时也要考虑现实乃至未来社会的需要。生态安全教育应在充分了解学生现有水平及社会发展需要的基础上，因地制宜，因人因时而异，尽量做到从学生的生活经验出发，注重结合当地具体生态状况。教育的内容可包括饮用水与食物安全、空气质量与绿色环境、动植物与环境资源等基本要素。教学可采取游戏、观察、操作、感受、借助现代教育媒体等形式，通过各种丰富多彩的生态活动，提升学生对生态文明的理解，积极营造激发学生学习的和谐氛围。在联系沟通中训练学生学会用生物学的观点去观察和认识周围的生态状况，体会生态安全的重要意义，逐渐形成生态安全意识。</w:t>
      </w:r>
    </w:p>
    <w:p>
      <w:pPr>
        <w:pStyle w:val="BodyText"/>
        <w:spacing w:line="328" w:lineRule="auto"/>
        <w:ind w:left="220" w:right="408" w:firstLine="480"/>
        <w:jc w:val="both"/>
      </w:pPr>
      <w:r>
        <w:rPr>
          <w:color w:val="231F20"/>
        </w:rPr>
        <w:t>本模块的教学，要求使学生理解人与自然是生命共同体，人与环境是相互制约、不可分割的整体；懂得环境为人类提供生命活动的物质基础，同时人类的生活和生产活动也以各种形式不断地对环境施加</w:t>
      </w:r>
    </w:p>
    <w:p>
      <w:pPr>
        <w:spacing w:after="0" w:line="328" w:lineRule="auto"/>
        <w:jc w:val="both"/>
        <w:sectPr>
          <w:pgSz w:w="10780" w:h="15090"/>
          <w:pgMar w:top="1260" w:right="1460" w:bottom="1400" w:left="1480" w:header="989" w:footer="1217"/>
          <w:cols w:space="708"/>
        </w:sectPr>
      </w:pPr>
    </w:p>
    <w:p>
      <w:pPr>
        <w:pStyle w:val="BodyText"/>
        <w:spacing w:before="10"/>
        <w:rPr>
          <w:sz w:val="29"/>
        </w:rPr>
      </w:pPr>
    </w:p>
    <w:p>
      <w:pPr>
        <w:pStyle w:val="BodyText"/>
        <w:spacing w:before="67" w:line="328" w:lineRule="auto"/>
        <w:ind w:left="390" w:right="229"/>
        <w:jc w:val="both"/>
      </w:pPr>
      <w:r>
        <w:rPr>
          <w:color w:val="231F20"/>
        </w:rPr>
        <w:t>影响，环境破坏造成的后果往往需要很长的时间才能恢复，有些甚至是不可逆的；将生态安全教育与世界观、人生观、价值观教育联系起来，让学生意识到生态安全的重要性，树立“绿水青山就是金山银山”的观念和“生态安全从我做起”的意识，养成环境友好的道德行为习惯，珍视和热爱自然环境，建立有利于生态安全的生活方式。</w:t>
      </w:r>
    </w:p>
    <w:p>
      <w:pPr>
        <w:pStyle w:val="BodyText"/>
        <w:spacing w:before="2"/>
        <w:rPr>
          <w:sz w:val="25"/>
        </w:rPr>
      </w:pPr>
    </w:p>
    <w:p>
      <w:pPr>
        <w:pStyle w:val="ListParagraph"/>
        <w:numPr>
          <w:ilvl w:val="0"/>
          <w:numId w:val="21"/>
        </w:numPr>
        <w:tabs>
          <w:tab w:val="left" w:pos="1072"/>
        </w:tabs>
        <w:spacing w:before="1" w:after="0" w:line="240" w:lineRule="auto"/>
        <w:ind w:left="1071" w:right="0" w:hanging="202"/>
        <w:jc w:val="both"/>
        <w:rPr>
          <w:sz w:val="24"/>
        </w:rPr>
      </w:pPr>
      <w:r>
        <w:rPr>
          <w:color w:val="231F20"/>
          <w:sz w:val="24"/>
        </w:rPr>
        <w:t>“校园动植物分类”模块开设建议（</w:t>
      </w:r>
      <w:r>
        <w:rPr>
          <w:rFonts w:ascii="Arial" w:eastAsia="Arial" w:hAnsi="Arial"/>
          <w:color w:val="231F20"/>
          <w:sz w:val="24"/>
        </w:rPr>
        <w:t>1</w:t>
      </w:r>
      <w:r>
        <w:rPr>
          <w:rFonts w:ascii="Arial" w:eastAsia="Arial" w:hAnsi="Arial"/>
          <w:color w:val="231F20"/>
          <w:spacing w:val="-37"/>
          <w:sz w:val="24"/>
        </w:rPr>
        <w:t xml:space="preserve"> </w:t>
      </w:r>
      <w:r>
        <w:rPr>
          <w:color w:val="231F20"/>
          <w:sz w:val="24"/>
        </w:rPr>
        <w:t>学分）</w:t>
      </w:r>
    </w:p>
    <w:p>
      <w:pPr>
        <w:pStyle w:val="BodyText"/>
        <w:spacing w:before="197" w:line="328" w:lineRule="auto"/>
        <w:ind w:left="390" w:right="238" w:firstLine="480"/>
        <w:jc w:val="both"/>
      </w:pPr>
      <w:r>
        <w:rPr>
          <w:color w:val="231F20"/>
          <w:spacing w:val="-1"/>
        </w:rPr>
        <w:t>当前，校园生态规划建设已经成为人们讨论的热点话题。让生态理念进入校园，不仅有利于全民生态意识的提高，也丰富了学生的学习实践内容，有利于学生的全面发展。校园动植物环境是校园生态最</w:t>
      </w:r>
      <w:r>
        <w:rPr>
          <w:color w:val="231F20"/>
        </w:rPr>
        <w:t>基本的环境元素，是一个半人工生态系统（</w:t>
      </w:r>
      <w:r>
        <w:rPr>
          <w:color w:val="231F20"/>
          <w:spacing w:val="-2"/>
        </w:rPr>
        <w:t>即由自然生态系统和人造</w:t>
      </w:r>
      <w:r>
        <w:rPr>
          <w:color w:val="231F20"/>
          <w:spacing w:val="3"/>
        </w:rPr>
        <w:t>生态系统共同组成</w:t>
      </w:r>
      <w:r>
        <w:rPr>
          <w:color w:val="231F20"/>
          <w:spacing w:val="-90"/>
        </w:rPr>
        <w:t>）</w:t>
      </w:r>
      <w:r>
        <w:rPr>
          <w:color w:val="231F20"/>
          <w:spacing w:val="2"/>
        </w:rPr>
        <w:t>。让学生积极参与到校园生态建设和生态保护行</w:t>
      </w:r>
      <w:r>
        <w:rPr>
          <w:color w:val="231F20"/>
          <w:spacing w:val="-1"/>
        </w:rPr>
        <w:t>动中去，对于培养学生的情趣、陶冶情操、热爱自然环境等都具有十</w:t>
      </w:r>
      <w:r>
        <w:rPr>
          <w:color w:val="231F20"/>
        </w:rPr>
        <w:t>分重要的意义。</w:t>
      </w:r>
    </w:p>
    <w:p>
      <w:pPr>
        <w:pStyle w:val="BodyText"/>
        <w:spacing w:line="328" w:lineRule="auto"/>
        <w:ind w:left="390" w:right="230" w:firstLine="480"/>
        <w:jc w:val="both"/>
      </w:pPr>
      <w:r>
        <w:rPr>
          <w:color w:val="231F20"/>
        </w:rPr>
        <w:t>开设本模块应依托校园自然环境，着眼于学生的兴趣爱好，因地制宜开展丰富多彩的校园文化活动，让学生养成关注身边事物的习惯，激发学生在生活中学科学、用科学的兴趣。校园动植物分类内容可以包括调查校园动植物资源，动植物分类的过程与一般方法，学会使用动植物分类表，学习编制简单的检索表，介绍校园动植物有关的科、属、种的特征及识别方法，动植物标本采集及制作，建立校园动植物资源管理数据库以及了解动植物与环境的适应关系等。</w:t>
      </w:r>
    </w:p>
    <w:p>
      <w:pPr>
        <w:pStyle w:val="BodyText"/>
        <w:spacing w:line="328" w:lineRule="auto"/>
        <w:ind w:left="390" w:right="118" w:firstLine="480"/>
      </w:pPr>
      <w:r>
        <w:rPr>
          <w:color w:val="231F20"/>
        </w:rPr>
        <w:t>教学中教师应根据本地的地理特点，充分利用校园动植物资源， 拉近学生与真实自然环境之间的距离。教学可以通过各种不同形式的活动展开。例如，以小组为单位制订寻找、观察校园动植物的计划； 交流认识校园里的动植物的学习经验；以科技为主导，以校园为依托，开发利用校园动植物资源；广泛收集教学需要的文字、声音、图片、动画等素材，建立校园动植物资源库等，实现教学与校园动植物资源的有效整合。激发学生的学习兴趣，培养学生的自然观察能力，</w:t>
      </w:r>
    </w:p>
    <w:p>
      <w:pPr>
        <w:spacing w:after="0" w:line="328" w:lineRule="auto"/>
        <w:sectPr>
          <w:pgSz w:w="10780" w:h="15090"/>
          <w:pgMar w:top="1260" w:right="1460" w:bottom="1400" w:left="1480" w:header="1029" w:footer="1217"/>
          <w:cols w:space="708"/>
        </w:sectPr>
      </w:pPr>
    </w:p>
    <w:p>
      <w:pPr>
        <w:pStyle w:val="BodyText"/>
        <w:rPr>
          <w:sz w:val="20"/>
        </w:rPr>
      </w:pPr>
    </w:p>
    <w:p>
      <w:pPr>
        <w:pStyle w:val="BodyText"/>
        <w:spacing w:before="203"/>
        <w:ind w:left="220"/>
      </w:pPr>
      <w:r>
        <w:rPr>
          <w:color w:val="231F20"/>
        </w:rPr>
        <w:t>提升学生的综合素养。</w:t>
      </w:r>
    </w:p>
    <w:p>
      <w:pPr>
        <w:pStyle w:val="BodyText"/>
        <w:spacing w:before="112" w:line="328" w:lineRule="auto"/>
        <w:ind w:left="220" w:right="290" w:firstLine="480"/>
      </w:pPr>
      <w:r>
        <w:rPr>
          <w:color w:val="231F20"/>
        </w:rPr>
        <w:t>校园动植物分类课程以提高学生的实践能力和创新能力为核心， 重视培养学生的科学思维能力、探究能力、创新精神及自主学习能力。本课程不仅培养学生关注身边校园的动植物，更重要的是培养学生爱护校园环境，自觉维护校园绿化的行为习惯，培养学生的合作精神和社会责任感。</w:t>
      </w:r>
    </w:p>
    <w:p>
      <w:pPr>
        <w:spacing w:after="0" w:line="328" w:lineRule="auto"/>
        <w:sectPr>
          <w:pgSz w:w="10780" w:h="15090"/>
          <w:pgMar w:top="1260" w:right="1460" w:bottom="1400" w:left="1480" w:header="989" w:footer="1217"/>
          <w:cols w:space="70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pPr>
      <w:r>
        <w:rPr>
          <w:color w:val="231F20"/>
        </w:rPr>
        <w:t>五、学业质量</w:t>
      </w:r>
    </w:p>
    <w:p>
      <w:pPr>
        <w:pStyle w:val="BodyText"/>
        <w:rPr>
          <w:sz w:val="56"/>
        </w:rPr>
      </w:pPr>
    </w:p>
    <w:p>
      <w:pPr>
        <w:pStyle w:val="BodyText"/>
        <w:rPr>
          <w:sz w:val="56"/>
        </w:rPr>
      </w:pPr>
    </w:p>
    <w:p>
      <w:pPr>
        <w:pStyle w:val="BodyText"/>
        <w:spacing w:before="4"/>
        <w:rPr>
          <w:sz w:val="62"/>
        </w:rPr>
      </w:pPr>
    </w:p>
    <w:p>
      <w:pPr>
        <w:pStyle w:val="Heading2"/>
      </w:pPr>
      <w:r>
        <w:rPr>
          <w:color w:val="231F20"/>
        </w:rPr>
        <w:t>（一）学业质量内涵</w:t>
      </w:r>
    </w:p>
    <w:p>
      <w:pPr>
        <w:pStyle w:val="BodyText"/>
        <w:spacing w:before="2"/>
        <w:rPr>
          <w:sz w:val="39"/>
        </w:rPr>
      </w:pPr>
    </w:p>
    <w:p>
      <w:pPr>
        <w:pStyle w:val="BodyText"/>
        <w:spacing w:line="328" w:lineRule="auto"/>
        <w:ind w:left="390" w:right="245" w:firstLine="480"/>
        <w:jc w:val="both"/>
      </w:pPr>
      <w:r>
        <w:rPr>
          <w:color w:val="231F20"/>
          <w:spacing w:val="-10"/>
        </w:rPr>
        <w:t>学业质量是学生在完成本学科课程学习后的学业成就表现。学业质</w:t>
      </w:r>
      <w:r>
        <w:rPr>
          <w:color w:val="231F20"/>
          <w:spacing w:val="-11"/>
        </w:rPr>
        <w:t>量标准是以本学科核心素养及其表现水平为主要维度</w:t>
      </w:r>
      <w:r>
        <w:rPr>
          <w:color w:val="231F20"/>
          <w:spacing w:val="-10"/>
        </w:rPr>
        <w:t>（</w:t>
      </w:r>
      <w:r>
        <w:rPr>
          <w:color w:val="231F20"/>
          <w:spacing w:val="-1"/>
        </w:rPr>
        <w:t>见附录</w:t>
      </w:r>
      <w:r>
        <w:rPr>
          <w:rFonts w:ascii="Times New Roman" w:eastAsia="Times New Roman"/>
          <w:color w:val="231F20"/>
          <w:spacing w:val="-42"/>
        </w:rPr>
        <w:t>1</w:t>
      </w:r>
      <w:r>
        <w:rPr>
          <w:color w:val="231F20"/>
          <w:spacing w:val="-42"/>
        </w:rPr>
        <w:t>）</w:t>
      </w:r>
      <w:r>
        <w:rPr>
          <w:color w:val="231F20"/>
          <w:spacing w:val="-21"/>
        </w:rPr>
        <w:t>，结合</w:t>
      </w:r>
      <w:r>
        <w:rPr>
          <w:color w:val="231F20"/>
          <w:spacing w:val="-11"/>
        </w:rPr>
        <w:t>课程内容，对学生学业成就表现的总体刻画。依据不同水平学业成就表</w:t>
      </w:r>
      <w:r>
        <w:rPr>
          <w:color w:val="231F20"/>
          <w:spacing w:val="-12"/>
        </w:rPr>
        <w:t>现的关键特征，学业质量标准明确将学业质量划分为不同水平，并描述</w:t>
      </w:r>
      <w:r>
        <w:rPr>
          <w:color w:val="231F20"/>
          <w:spacing w:val="-13"/>
        </w:rPr>
        <w:t>了不同水平学习结果的具体表现。高中生物学学业质量标准是依据生物</w:t>
      </w:r>
      <w:r>
        <w:rPr>
          <w:color w:val="231F20"/>
          <w:spacing w:val="-10"/>
        </w:rPr>
        <w:t>学学科核心素养中的生命观念、科学思维、科学探究和社会责任的四个</w:t>
      </w:r>
      <w:r>
        <w:rPr>
          <w:color w:val="231F20"/>
          <w:spacing w:val="-12"/>
        </w:rPr>
        <w:t>维度及其划分的水平，结合必修课程和选择性必修课程的重要概念、方法等对学生学习相应的课程后所表现出的核心素养水平的描述。</w:t>
      </w:r>
    </w:p>
    <w:p>
      <w:pPr>
        <w:pStyle w:val="BodyText"/>
        <w:rPr>
          <w:sz w:val="26"/>
        </w:rPr>
      </w:pPr>
    </w:p>
    <w:p>
      <w:pPr>
        <w:pStyle w:val="Heading2"/>
        <w:spacing w:before="231"/>
      </w:pPr>
      <w:r>
        <w:rPr>
          <w:color w:val="231F20"/>
        </w:rPr>
        <w:t>（二）学业质量水平</w:t>
      </w:r>
    </w:p>
    <w:p>
      <w:pPr>
        <w:pStyle w:val="BodyText"/>
        <w:rPr>
          <w:sz w:val="20"/>
        </w:rPr>
      </w:pPr>
    </w:p>
    <w:p>
      <w:pPr>
        <w:pStyle w:val="BodyText"/>
        <w:spacing w:before="4"/>
        <w:rPr>
          <w:sz w:val="27"/>
        </w:rPr>
      </w:pPr>
    </w:p>
    <w:tbl>
      <w:tblPr>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643"/>
        <w:gridCol w:w="6558"/>
      </w:tblGrid>
      <w:tr>
        <w:tblPrEx>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451"/>
          <w:jc w:val="left"/>
        </w:trPr>
        <w:tc>
          <w:tcPr>
            <w:tcW w:w="643" w:type="dxa"/>
          </w:tcPr>
          <w:p>
            <w:pPr>
              <w:pStyle w:val="TableParagraph"/>
              <w:spacing w:before="96"/>
              <w:ind w:left="99" w:right="89"/>
              <w:jc w:val="center"/>
              <w:rPr>
                <w:sz w:val="20"/>
              </w:rPr>
            </w:pPr>
            <w:r>
              <w:rPr>
                <w:color w:val="231F20"/>
                <w:sz w:val="20"/>
              </w:rPr>
              <w:t>水平</w:t>
            </w:r>
          </w:p>
        </w:tc>
        <w:tc>
          <w:tcPr>
            <w:tcW w:w="6558" w:type="dxa"/>
          </w:tcPr>
          <w:p>
            <w:pPr>
              <w:pStyle w:val="TableParagraph"/>
              <w:spacing w:before="70"/>
              <w:ind w:left="2776" w:right="2767"/>
              <w:jc w:val="center"/>
              <w:rPr>
                <w:sz w:val="24"/>
              </w:rPr>
            </w:pPr>
            <w:r>
              <w:rPr>
                <w:color w:val="231F20"/>
                <w:sz w:val="24"/>
              </w:rPr>
              <w:t>质量描述</w:t>
            </w:r>
          </w:p>
        </w:tc>
      </w:tr>
      <w:tr>
        <w:tblPrEx>
          <w:tblW w:w="0" w:type="auto"/>
          <w:jc w:val="left"/>
          <w:tblInd w:w="405" w:type="dxa"/>
          <w:tblLayout w:type="fixed"/>
          <w:tblCellMar>
            <w:top w:w="0" w:type="dxa"/>
            <w:left w:w="0" w:type="dxa"/>
            <w:bottom w:w="0" w:type="dxa"/>
            <w:right w:w="0" w:type="dxa"/>
          </w:tblCellMar>
          <w:tblLook w:val="01E0"/>
        </w:tblPrEx>
        <w:trPr>
          <w:trHeight w:val="1206"/>
          <w:jc w:val="left"/>
        </w:trPr>
        <w:tc>
          <w:tcPr>
            <w:tcW w:w="643" w:type="dxa"/>
          </w:tcPr>
          <w:p>
            <w:pPr>
              <w:pStyle w:val="TableParagraph"/>
              <w:rPr>
                <w:sz w:val="22"/>
              </w:rPr>
            </w:pPr>
          </w:p>
          <w:p>
            <w:pPr>
              <w:pStyle w:val="TableParagraph"/>
              <w:rPr>
                <w:sz w:val="16"/>
              </w:rPr>
            </w:pPr>
          </w:p>
          <w:p>
            <w:pPr>
              <w:pStyle w:val="TableParagraph"/>
              <w:ind w:left="10"/>
              <w:jc w:val="center"/>
              <w:rPr>
                <w:rFonts w:ascii="Times New Roman"/>
                <w:sz w:val="20"/>
              </w:rPr>
            </w:pPr>
            <w:r>
              <w:rPr>
                <w:rFonts w:ascii="Times New Roman"/>
                <w:color w:val="231F20"/>
                <w:sz w:val="20"/>
              </w:rPr>
              <w:t>1</w:t>
            </w:r>
          </w:p>
        </w:tc>
        <w:tc>
          <w:tcPr>
            <w:tcW w:w="6558" w:type="dxa"/>
          </w:tcPr>
          <w:p>
            <w:pPr>
              <w:pStyle w:val="TableParagraph"/>
              <w:spacing w:before="153" w:line="300" w:lineRule="auto"/>
              <w:ind w:left="577" w:right="102" w:hanging="467"/>
              <w:jc w:val="both"/>
              <w:rPr>
                <w:sz w:val="20"/>
              </w:rPr>
            </w:pPr>
            <w:r>
              <w:rPr>
                <w:rFonts w:ascii="Times New Roman" w:eastAsia="Times New Roman"/>
                <w:color w:val="231F20"/>
                <w:sz w:val="20"/>
              </w:rPr>
              <w:t xml:space="preserve">1-1 </w:t>
            </w:r>
            <w:r>
              <w:rPr>
                <w:color w:val="231F20"/>
                <w:spacing w:val="-5"/>
                <w:sz w:val="20"/>
              </w:rPr>
              <w:t>能初步以结构与功能观、物质与能量观等观念，说出生物体组成结构和功能之间的关系、光合作用和呼吸作用中的物质与能量转换、遗传与变异的物质基础和规律等；初步运用进化与适应观，说出生物的多</w:t>
            </w:r>
          </w:p>
        </w:tc>
      </w:tr>
    </w:tbl>
    <w:p>
      <w:pPr>
        <w:spacing w:after="0" w:line="300" w:lineRule="auto"/>
        <w:jc w:val="both"/>
        <w:rPr>
          <w:sz w:val="20"/>
        </w:rPr>
        <w:sectPr>
          <w:headerReference w:type="default" r:id="rId45"/>
          <w:footerReference w:type="even" r:id="rId46"/>
          <w:footerReference w:type="default" r:id="rId47"/>
          <w:pgSz w:w="10780" w:h="15090"/>
          <w:pgMar w:top="1420" w:right="1460" w:bottom="1400" w:left="1480" w:header="0" w:footer="1217"/>
          <w:pgNumType w:start="51"/>
          <w:cols w:space="708"/>
        </w:sectPr>
      </w:pPr>
    </w:p>
    <w:p>
      <w:pPr>
        <w:pStyle w:val="BodyText"/>
        <w:rPr>
          <w:sz w:val="20"/>
        </w:rPr>
      </w:pPr>
    </w:p>
    <w:p>
      <w:pPr>
        <w:spacing w:before="210"/>
        <w:ind w:left="0" w:right="576" w:firstLine="0"/>
        <w:jc w:val="right"/>
        <w:rPr>
          <w:sz w:val="20"/>
        </w:rPr>
      </w:pPr>
      <w:r>
        <w:rPr>
          <w:color w:val="231F20"/>
          <w:sz w:val="20"/>
        </w:rPr>
        <w:t>续表</w:t>
      </w:r>
    </w:p>
    <w:p>
      <w:pPr>
        <w:pStyle w:val="BodyText"/>
        <w:spacing w:before="3"/>
        <w:rPr>
          <w:sz w:val="10"/>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643"/>
        <w:gridCol w:w="6558"/>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451"/>
          <w:jc w:val="left"/>
        </w:trPr>
        <w:tc>
          <w:tcPr>
            <w:tcW w:w="643" w:type="dxa"/>
          </w:tcPr>
          <w:p>
            <w:pPr>
              <w:pStyle w:val="TableParagraph"/>
              <w:spacing w:before="96"/>
              <w:ind w:left="99" w:right="89"/>
              <w:jc w:val="center"/>
              <w:rPr>
                <w:sz w:val="20"/>
              </w:rPr>
            </w:pPr>
            <w:r>
              <w:rPr>
                <w:color w:val="231F20"/>
                <w:sz w:val="20"/>
              </w:rPr>
              <w:t>水平</w:t>
            </w:r>
          </w:p>
        </w:tc>
        <w:tc>
          <w:tcPr>
            <w:tcW w:w="6558" w:type="dxa"/>
          </w:tcPr>
          <w:p>
            <w:pPr>
              <w:pStyle w:val="TableParagraph"/>
              <w:spacing w:before="70"/>
              <w:ind w:left="2776" w:right="2767"/>
              <w:jc w:val="center"/>
              <w:rPr>
                <w:sz w:val="24"/>
              </w:rPr>
            </w:pPr>
            <w:r>
              <w:rPr>
                <w:color w:val="231F20"/>
                <w:sz w:val="24"/>
              </w:rPr>
              <w:t>质量描述</w:t>
            </w:r>
          </w:p>
        </w:tc>
      </w:tr>
      <w:tr>
        <w:tblPrEx>
          <w:tblW w:w="0" w:type="auto"/>
          <w:jc w:val="left"/>
          <w:tblInd w:w="235" w:type="dxa"/>
          <w:tblLayout w:type="fixed"/>
          <w:tblCellMar>
            <w:top w:w="0" w:type="dxa"/>
            <w:left w:w="0" w:type="dxa"/>
            <w:bottom w:w="0" w:type="dxa"/>
            <w:right w:w="0" w:type="dxa"/>
          </w:tblCellMar>
          <w:tblLook w:val="01E0"/>
        </w:tblPrEx>
        <w:trPr>
          <w:trHeight w:val="3972"/>
          <w:jc w:val="left"/>
        </w:trPr>
        <w:tc>
          <w:tcPr>
            <w:tcW w:w="64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79"/>
              <w:ind w:left="10"/>
              <w:jc w:val="center"/>
              <w:rPr>
                <w:rFonts w:ascii="Times New Roman"/>
                <w:sz w:val="20"/>
              </w:rPr>
            </w:pPr>
            <w:r>
              <w:rPr>
                <w:rFonts w:ascii="Times New Roman"/>
                <w:color w:val="231F20"/>
                <w:sz w:val="20"/>
              </w:rPr>
              <w:t>1</w:t>
            </w:r>
          </w:p>
        </w:tc>
        <w:tc>
          <w:tcPr>
            <w:tcW w:w="6558" w:type="dxa"/>
          </w:tcPr>
          <w:p>
            <w:pPr>
              <w:pStyle w:val="TableParagraph"/>
              <w:spacing w:before="97" w:line="300" w:lineRule="auto"/>
              <w:ind w:left="596" w:right="97"/>
              <w:rPr>
                <w:sz w:val="20"/>
              </w:rPr>
            </w:pPr>
            <w:r>
              <w:rPr>
                <w:color w:val="231F20"/>
                <w:sz w:val="20"/>
              </w:rPr>
              <w:t>样性和统一性；在给定的问题情境中，能以生命观念为指导，分析生命现象，探讨生命活动的规律，设计解决简单问题的方案。</w:t>
            </w:r>
          </w:p>
          <w:p>
            <w:pPr>
              <w:pStyle w:val="TableParagraph"/>
              <w:numPr>
                <w:ilvl w:val="1"/>
                <w:numId w:val="20"/>
              </w:numPr>
              <w:tabs>
                <w:tab w:val="left" w:pos="578"/>
              </w:tabs>
              <w:spacing w:before="0" w:after="0" w:line="300" w:lineRule="auto"/>
              <w:ind w:left="577" w:right="98" w:hanging="467"/>
              <w:jc w:val="both"/>
              <w:rPr>
                <w:sz w:val="20"/>
              </w:rPr>
            </w:pPr>
            <w:r>
              <w:rPr>
                <w:color w:val="231F20"/>
                <w:sz w:val="20"/>
              </w:rPr>
              <w:t>能认识到生物学概念是基于科学事实，经过归纳与概括、演绎与推理等方法形成的；能理解分子与细胞、遗传与变异等相关概念的内涵；能用上述概念和科学思维方法解释简单情境中的生命现象。</w:t>
            </w:r>
          </w:p>
          <w:p>
            <w:pPr>
              <w:pStyle w:val="TableParagraph"/>
              <w:numPr>
                <w:ilvl w:val="1"/>
                <w:numId w:val="20"/>
              </w:numPr>
              <w:tabs>
                <w:tab w:val="left" w:pos="578"/>
              </w:tabs>
              <w:spacing w:before="0" w:after="0" w:line="300" w:lineRule="auto"/>
              <w:ind w:left="577" w:right="95" w:hanging="467"/>
              <w:jc w:val="both"/>
              <w:rPr>
                <w:sz w:val="20"/>
              </w:rPr>
            </w:pPr>
            <w:r>
              <w:rPr>
                <w:color w:val="231F20"/>
                <w:sz w:val="20"/>
              </w:rPr>
              <w:t>能针对给定的分子与细胞、遗传与进化等相关的生物学问题，根据实验计划，使用简单的实验器具，按照实验操作步骤进行实验，如实记录实验数据，并分析得出结论，写出实验报告并与他人进行必要的交流；认同在生物学的探究过程中开展合作的必要性。</w:t>
            </w:r>
          </w:p>
          <w:p>
            <w:pPr>
              <w:pStyle w:val="TableParagraph"/>
              <w:numPr>
                <w:ilvl w:val="1"/>
                <w:numId w:val="20"/>
              </w:numPr>
              <w:tabs>
                <w:tab w:val="left" w:pos="578"/>
              </w:tabs>
              <w:spacing w:before="0" w:after="0" w:line="300" w:lineRule="auto"/>
              <w:ind w:left="577" w:right="95" w:hanging="467"/>
              <w:jc w:val="both"/>
              <w:rPr>
                <w:sz w:val="20"/>
              </w:rPr>
            </w:pPr>
            <w:r>
              <w:rPr>
                <w:color w:val="231F20"/>
                <w:sz w:val="20"/>
              </w:rPr>
              <w:t>形成热爱生命、人与自然和谐共处的基本观念，认同环境保护的必要性和重要性；认同健康文明的生活方式，远离毒品；能对有关生物学的社会热点议题进行理性判断。</w:t>
            </w:r>
          </w:p>
        </w:tc>
      </w:tr>
      <w:tr>
        <w:tblPrEx>
          <w:tblW w:w="0" w:type="auto"/>
          <w:jc w:val="left"/>
          <w:tblInd w:w="235" w:type="dxa"/>
          <w:tblLayout w:type="fixed"/>
          <w:tblCellMar>
            <w:top w:w="0" w:type="dxa"/>
            <w:left w:w="0" w:type="dxa"/>
            <w:bottom w:w="0" w:type="dxa"/>
            <w:right w:w="0" w:type="dxa"/>
          </w:tblCellMar>
          <w:tblLook w:val="01E0"/>
        </w:tblPrEx>
        <w:trPr>
          <w:trHeight w:val="6650"/>
          <w:jc w:val="left"/>
        </w:trPr>
        <w:tc>
          <w:tcPr>
            <w:tcW w:w="64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5"/>
              <w:rPr>
                <w:sz w:val="30"/>
              </w:rPr>
            </w:pPr>
          </w:p>
          <w:p>
            <w:pPr>
              <w:pStyle w:val="TableParagraph"/>
              <w:spacing w:before="1"/>
              <w:ind w:left="10"/>
              <w:jc w:val="center"/>
              <w:rPr>
                <w:rFonts w:ascii="Times New Roman"/>
                <w:sz w:val="20"/>
              </w:rPr>
            </w:pPr>
            <w:r>
              <w:rPr>
                <w:rFonts w:ascii="Times New Roman"/>
                <w:color w:val="231F20"/>
                <w:sz w:val="20"/>
              </w:rPr>
              <w:t>2</w:t>
            </w:r>
          </w:p>
        </w:tc>
        <w:tc>
          <w:tcPr>
            <w:tcW w:w="6558" w:type="dxa"/>
          </w:tcPr>
          <w:p>
            <w:pPr>
              <w:pStyle w:val="TableParagraph"/>
              <w:numPr>
                <w:ilvl w:val="1"/>
                <w:numId w:val="19"/>
              </w:numPr>
              <w:tabs>
                <w:tab w:val="left" w:pos="578"/>
              </w:tabs>
              <w:spacing w:before="155" w:after="0" w:line="300" w:lineRule="auto"/>
              <w:ind w:left="577" w:right="101" w:hanging="467"/>
              <w:jc w:val="both"/>
              <w:rPr>
                <w:sz w:val="20"/>
              </w:rPr>
            </w:pPr>
            <w:r>
              <w:rPr>
                <w:color w:val="231F20"/>
                <w:spacing w:val="-5"/>
                <w:sz w:val="20"/>
              </w:rPr>
              <w:t>能运用结构与功能观、物质与能量观等观念，举例说明生物体组成结构和功能之间的关系、光合作用和呼吸作用中的物质与能量转换、遗传与变异的物质基础和规律等；运用进化与适应观举例说明生物的多样性和统一性；在特定的问题情境中，能以生命观念为指导，分析生命现象，探讨生命活动的规律，设计方案解决简单问题。</w:t>
            </w:r>
          </w:p>
          <w:p>
            <w:pPr>
              <w:pStyle w:val="TableParagraph"/>
              <w:numPr>
                <w:ilvl w:val="1"/>
                <w:numId w:val="19"/>
              </w:numPr>
              <w:tabs>
                <w:tab w:val="left" w:pos="578"/>
              </w:tabs>
              <w:spacing w:before="0" w:after="0" w:line="300" w:lineRule="auto"/>
              <w:ind w:left="577" w:right="0" w:hanging="467"/>
              <w:jc w:val="left"/>
              <w:rPr>
                <w:sz w:val="20"/>
              </w:rPr>
            </w:pPr>
            <w:r>
              <w:rPr>
                <w:color w:val="231F20"/>
                <w:spacing w:val="2"/>
                <w:sz w:val="20"/>
              </w:rPr>
              <w:t>能基于特定的生物学事实，采用归纳与概括、演绎与推理等方法， 以文字、图示的形式，说明分子与细胞、遗传与变异等相关概念的内涵；针对生物学相关问题，能运用科学思维方法展开探讨；在面对有争议的社会议题时，能利用生物学重要概念或原理，通过逻辑推理阐明个人立场。</w:t>
            </w:r>
          </w:p>
          <w:p>
            <w:pPr>
              <w:pStyle w:val="TableParagraph"/>
              <w:numPr>
                <w:ilvl w:val="1"/>
                <w:numId w:val="19"/>
              </w:numPr>
              <w:tabs>
                <w:tab w:val="left" w:pos="578"/>
              </w:tabs>
              <w:spacing w:before="0" w:after="0" w:line="300" w:lineRule="auto"/>
              <w:ind w:left="577" w:right="95" w:hanging="467"/>
              <w:jc w:val="both"/>
              <w:rPr>
                <w:sz w:val="20"/>
              </w:rPr>
            </w:pPr>
            <w:r>
              <w:rPr>
                <w:color w:val="231F20"/>
                <w:sz w:val="20"/>
              </w:rPr>
              <w:t>能提出分子与细胞、遗传与进化等相关的生物学问题；能熟练地使用常见的实验器具，制订简单的实验方案或在给出的多个方案中选取恰当的方案并实施，如实记录实验数据，并分析各项数据，得出合理的结论；能与他人合作开展探究活动，规范撰写实验报告，与他人交流所得结果和存在的问题。</w:t>
            </w:r>
          </w:p>
          <w:p>
            <w:pPr>
              <w:pStyle w:val="TableParagraph"/>
              <w:numPr>
                <w:ilvl w:val="1"/>
                <w:numId w:val="19"/>
              </w:numPr>
              <w:tabs>
                <w:tab w:val="left" w:pos="578"/>
              </w:tabs>
              <w:spacing w:before="0" w:after="0" w:line="300" w:lineRule="auto"/>
              <w:ind w:left="577" w:right="95" w:hanging="467"/>
              <w:jc w:val="both"/>
              <w:rPr>
                <w:sz w:val="20"/>
              </w:rPr>
            </w:pPr>
            <w:r>
              <w:rPr>
                <w:color w:val="231F20"/>
                <w:sz w:val="20"/>
              </w:rPr>
              <w:t>形成热爱生命、人与自然和谐共处的基本观念，初步形成保护环境意识，参与绿色家庭、绿色学校、绿色社区等行动；养成健康文明的生活方式，远离毒品，并能抵制封建迷信和伪科学；形成敬畏生命的观念，遵循正确的伦理道德，能对有关生物学的社会热点议题进行理性判断。</w:t>
            </w:r>
          </w:p>
        </w:tc>
      </w:tr>
    </w:tbl>
    <w:p>
      <w:pPr>
        <w:spacing w:after="0" w:line="300" w:lineRule="auto"/>
        <w:jc w:val="both"/>
        <w:rPr>
          <w:sz w:val="20"/>
        </w:rPr>
        <w:sectPr>
          <w:headerReference w:type="even" r:id="rId48"/>
          <w:headerReference w:type="default" r:id="rId49"/>
          <w:pgSz w:w="10780" w:h="15090"/>
          <w:pgMar w:top="1260" w:right="1460" w:bottom="1400" w:left="1480" w:header="989" w:footer="1217"/>
          <w:cols w:space="708"/>
        </w:sectPr>
      </w:pPr>
    </w:p>
    <w:p>
      <w:pPr>
        <w:pStyle w:val="BodyText"/>
        <w:spacing w:before="5"/>
        <w:rPr>
          <w:sz w:val="29"/>
        </w:rPr>
      </w:pPr>
    </w:p>
    <w:p>
      <w:pPr>
        <w:spacing w:before="80"/>
        <w:ind w:left="0" w:right="994" w:firstLine="0"/>
        <w:jc w:val="right"/>
        <w:rPr>
          <w:sz w:val="20"/>
        </w:rPr>
      </w:pPr>
      <w:r>
        <w:rPr>
          <w:color w:val="231F20"/>
          <w:sz w:val="20"/>
        </w:rPr>
        <w:t>续表</w:t>
      </w:r>
    </w:p>
    <w:p>
      <w:pPr>
        <w:pStyle w:val="BodyText"/>
        <w:spacing w:before="5" w:after="1"/>
        <w:rPr>
          <w:sz w:val="9"/>
        </w:rPr>
      </w:pPr>
    </w:p>
    <w:tbl>
      <w:tblPr>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643"/>
        <w:gridCol w:w="6558"/>
      </w:tblGrid>
      <w:tr>
        <w:tblPrEx>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451"/>
          <w:jc w:val="left"/>
        </w:trPr>
        <w:tc>
          <w:tcPr>
            <w:tcW w:w="643" w:type="dxa"/>
          </w:tcPr>
          <w:p>
            <w:pPr>
              <w:pStyle w:val="TableParagraph"/>
              <w:spacing w:before="96"/>
              <w:ind w:left="99" w:right="89"/>
              <w:jc w:val="center"/>
              <w:rPr>
                <w:sz w:val="20"/>
              </w:rPr>
            </w:pPr>
            <w:r>
              <w:rPr>
                <w:color w:val="231F20"/>
                <w:sz w:val="20"/>
              </w:rPr>
              <w:t>水平</w:t>
            </w:r>
          </w:p>
        </w:tc>
        <w:tc>
          <w:tcPr>
            <w:tcW w:w="6558" w:type="dxa"/>
          </w:tcPr>
          <w:p>
            <w:pPr>
              <w:pStyle w:val="TableParagraph"/>
              <w:spacing w:before="70"/>
              <w:ind w:left="2776" w:right="2767"/>
              <w:jc w:val="center"/>
              <w:rPr>
                <w:sz w:val="24"/>
              </w:rPr>
            </w:pPr>
            <w:r>
              <w:rPr>
                <w:color w:val="231F20"/>
                <w:sz w:val="24"/>
              </w:rPr>
              <w:t>质量描述</w:t>
            </w:r>
          </w:p>
        </w:tc>
      </w:tr>
      <w:tr>
        <w:tblPrEx>
          <w:tblW w:w="0" w:type="auto"/>
          <w:jc w:val="left"/>
          <w:tblInd w:w="405" w:type="dxa"/>
          <w:tblLayout w:type="fixed"/>
          <w:tblCellMar>
            <w:top w:w="0" w:type="dxa"/>
            <w:left w:w="0" w:type="dxa"/>
            <w:bottom w:w="0" w:type="dxa"/>
            <w:right w:w="0" w:type="dxa"/>
          </w:tblCellMar>
          <w:tblLook w:val="01E0"/>
        </w:tblPrEx>
        <w:trPr>
          <w:trHeight w:val="8091"/>
          <w:jc w:val="left"/>
        </w:trPr>
        <w:tc>
          <w:tcPr>
            <w:tcW w:w="64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9"/>
              <w:rPr>
                <w:sz w:val="20"/>
              </w:rPr>
            </w:pPr>
          </w:p>
          <w:p>
            <w:pPr>
              <w:pStyle w:val="TableParagraph"/>
              <w:ind w:left="10"/>
              <w:jc w:val="center"/>
              <w:rPr>
                <w:rFonts w:ascii="Times New Roman"/>
                <w:sz w:val="20"/>
              </w:rPr>
            </w:pPr>
            <w:r>
              <w:rPr>
                <w:rFonts w:ascii="Times New Roman"/>
                <w:color w:val="231F20"/>
                <w:sz w:val="20"/>
              </w:rPr>
              <w:t>3</w:t>
            </w:r>
          </w:p>
        </w:tc>
        <w:tc>
          <w:tcPr>
            <w:tcW w:w="6558" w:type="dxa"/>
          </w:tcPr>
          <w:p>
            <w:pPr>
              <w:pStyle w:val="TableParagraph"/>
              <w:numPr>
                <w:ilvl w:val="1"/>
                <w:numId w:val="18"/>
              </w:numPr>
              <w:tabs>
                <w:tab w:val="left" w:pos="578"/>
              </w:tabs>
              <w:spacing w:before="76" w:after="0" w:line="300" w:lineRule="auto"/>
              <w:ind w:left="577" w:right="0" w:hanging="467"/>
              <w:jc w:val="left"/>
              <w:rPr>
                <w:sz w:val="20"/>
              </w:rPr>
            </w:pPr>
            <w:r>
              <w:rPr>
                <w:color w:val="231F20"/>
                <w:sz w:val="20"/>
              </w:rPr>
              <w:t>能运用结构与功能观、物质与能量观、稳态与平衡观等观念，举例</w:t>
            </w:r>
            <w:r>
              <w:rPr>
                <w:color w:val="231F20"/>
                <w:spacing w:val="3"/>
                <w:sz w:val="20"/>
              </w:rPr>
              <w:t>说明生物体组成结构和功能之间的关系、遗传与变异的物质基础、稳态的维持和调节机制、生态系统的平衡原理等；运用进化与适应观举例说明生物的多样性和统一性，以及与环境的关系；在特定的</w:t>
            </w:r>
            <w:r>
              <w:rPr>
                <w:color w:val="231F20"/>
                <w:spacing w:val="6"/>
                <w:sz w:val="20"/>
              </w:rPr>
              <w:t>问题情境中，能以生命观念为指导，分析生命现象，探讨生命活</w:t>
            </w:r>
            <w:r>
              <w:rPr>
                <w:color w:val="231F20"/>
                <w:sz w:val="20"/>
              </w:rPr>
              <w:t>动的规律；基于上述观念，能综合运用科学、技术、工程学和数学</w:t>
            </w:r>
          </w:p>
          <w:p>
            <w:pPr>
              <w:pStyle w:val="TableParagraph"/>
              <w:spacing w:line="254" w:lineRule="exact"/>
              <w:ind w:left="477"/>
              <w:rPr>
                <w:sz w:val="20"/>
              </w:rPr>
            </w:pPr>
            <w:r>
              <w:rPr>
                <w:color w:val="231F20"/>
                <w:sz w:val="20"/>
              </w:rPr>
              <w:t>（</w:t>
            </w:r>
            <w:r>
              <w:rPr>
                <w:rFonts w:ascii="Times New Roman" w:eastAsia="Times New Roman"/>
                <w:color w:val="231F20"/>
                <w:sz w:val="20"/>
              </w:rPr>
              <w:t>STEM</w:t>
            </w:r>
            <w:r>
              <w:rPr>
                <w:color w:val="231F20"/>
                <w:sz w:val="20"/>
              </w:rPr>
              <w:t>）知识和能力，设计方案，解决特定问题。</w:t>
            </w:r>
          </w:p>
          <w:p>
            <w:pPr>
              <w:pStyle w:val="TableParagraph"/>
              <w:numPr>
                <w:ilvl w:val="1"/>
                <w:numId w:val="18"/>
              </w:numPr>
              <w:tabs>
                <w:tab w:val="left" w:pos="578"/>
              </w:tabs>
              <w:spacing w:before="64" w:after="0" w:line="300" w:lineRule="auto"/>
              <w:ind w:left="577" w:right="0" w:hanging="467"/>
              <w:jc w:val="left"/>
              <w:rPr>
                <w:sz w:val="20"/>
              </w:rPr>
            </w:pPr>
            <w:r>
              <w:rPr>
                <w:color w:val="231F20"/>
                <w:spacing w:val="2"/>
                <w:sz w:val="20"/>
              </w:rPr>
              <w:t>能基于给定的事实和证据，采用归纳与概括、演绎与推理等方法， 以文字、图示或模型的形式，说明分子与细胞、遗传与变异、稳态与调节、生物与环境等相关概念的内涵，举例说明生物工程与技术的原理及其与社会之间的关系；针对生物学相关问题，能运用科学</w:t>
            </w:r>
            <w:r>
              <w:rPr>
                <w:color w:val="231F20"/>
                <w:spacing w:val="-7"/>
                <w:sz w:val="20"/>
              </w:rPr>
              <w:t>思维方法展开探讨、审视或论证；在面对有争议的社会议题时，能利</w:t>
            </w:r>
            <w:r>
              <w:rPr>
                <w:color w:val="231F20"/>
                <w:spacing w:val="-10"/>
                <w:sz w:val="20"/>
              </w:rPr>
              <w:t>用生物学重要概念或原理，通过逻辑推理阐明个人立场，作出决策。</w:t>
            </w:r>
          </w:p>
          <w:p>
            <w:pPr>
              <w:pStyle w:val="TableParagraph"/>
              <w:numPr>
                <w:ilvl w:val="1"/>
                <w:numId w:val="18"/>
              </w:numPr>
              <w:tabs>
                <w:tab w:val="left" w:pos="578"/>
              </w:tabs>
              <w:spacing w:before="0" w:after="0" w:line="300" w:lineRule="auto"/>
              <w:ind w:left="577" w:right="95" w:hanging="467"/>
              <w:jc w:val="both"/>
              <w:rPr>
                <w:sz w:val="20"/>
              </w:rPr>
            </w:pPr>
            <w:r>
              <w:rPr>
                <w:color w:val="231F20"/>
                <w:sz w:val="20"/>
              </w:rPr>
              <w:t>能够针对特定情境提出可探究的生物学问题或生物工程需求，基于给定的条件，设计并实施探究实验方案或工程学实践方案，运用多种方法如实记录和分析实验结果；能举例说明人类的活动对环境产生的影响，以及生物多样性对生态系统的维持、人类生存和发展的重要意义；能主动合作，推进探究方案或工程实践的实施，并运用科学术语报告实验结果。</w:t>
            </w:r>
          </w:p>
          <w:p>
            <w:pPr>
              <w:pStyle w:val="TableParagraph"/>
              <w:numPr>
                <w:ilvl w:val="1"/>
                <w:numId w:val="18"/>
              </w:numPr>
              <w:tabs>
                <w:tab w:val="left" w:pos="578"/>
              </w:tabs>
              <w:spacing w:before="0" w:after="0" w:line="300" w:lineRule="auto"/>
              <w:ind w:left="577" w:right="88" w:hanging="467"/>
              <w:jc w:val="both"/>
              <w:rPr>
                <w:sz w:val="20"/>
              </w:rPr>
            </w:pPr>
            <w:r>
              <w:rPr>
                <w:color w:val="231F20"/>
                <w:sz w:val="20"/>
              </w:rPr>
              <w:t>形成珍爱生命、人与自然和谐共处的观念，养成保护环境、维护生</w:t>
            </w:r>
            <w:r>
              <w:rPr>
                <w:color w:val="231F20"/>
                <w:spacing w:val="6"/>
                <w:sz w:val="20"/>
              </w:rPr>
              <w:t>态平衡的行为习惯，积极参与绿色家庭、绿色学校、绿色社区等</w:t>
            </w:r>
            <w:r>
              <w:rPr>
                <w:color w:val="231F20"/>
                <w:sz w:val="20"/>
              </w:rPr>
              <w:t>行动，并提出人与环境和谐相处的一些建议；养成健康文明的生活方式，远离毒品，自觉抵制封建迷信和伪科学；形成敬畏生命的观念，遵循正确的伦理道德，能对生殖性克隆人等社会热点议题进行</w:t>
            </w:r>
          </w:p>
          <w:p>
            <w:pPr>
              <w:pStyle w:val="TableParagraph"/>
              <w:spacing w:line="255" w:lineRule="exact"/>
              <w:ind w:left="577"/>
              <w:rPr>
                <w:sz w:val="20"/>
              </w:rPr>
            </w:pPr>
            <w:r>
              <w:rPr>
                <w:color w:val="231F20"/>
                <w:sz w:val="20"/>
              </w:rPr>
              <w:t>科学判断。</w:t>
            </w:r>
          </w:p>
        </w:tc>
      </w:tr>
      <w:tr>
        <w:tblPrEx>
          <w:tblW w:w="0" w:type="auto"/>
          <w:jc w:val="left"/>
          <w:tblInd w:w="405" w:type="dxa"/>
          <w:tblLayout w:type="fixed"/>
          <w:tblCellMar>
            <w:top w:w="0" w:type="dxa"/>
            <w:left w:w="0" w:type="dxa"/>
            <w:bottom w:w="0" w:type="dxa"/>
            <w:right w:w="0" w:type="dxa"/>
          </w:tblCellMar>
          <w:tblLook w:val="01E0"/>
        </w:tblPrEx>
        <w:trPr>
          <w:trHeight w:val="2331"/>
          <w:jc w:val="left"/>
        </w:trPr>
        <w:tc>
          <w:tcPr>
            <w:tcW w:w="643" w:type="dxa"/>
          </w:tcPr>
          <w:p>
            <w:pPr>
              <w:pStyle w:val="TableParagraph"/>
              <w:rPr>
                <w:sz w:val="22"/>
              </w:rPr>
            </w:pPr>
          </w:p>
          <w:p>
            <w:pPr>
              <w:pStyle w:val="TableParagraph"/>
              <w:rPr>
                <w:sz w:val="22"/>
              </w:rPr>
            </w:pPr>
          </w:p>
          <w:p>
            <w:pPr>
              <w:pStyle w:val="TableParagraph"/>
              <w:rPr>
                <w:sz w:val="22"/>
              </w:rPr>
            </w:pPr>
          </w:p>
          <w:p>
            <w:pPr>
              <w:pStyle w:val="TableParagraph"/>
              <w:spacing w:before="12"/>
              <w:rPr>
                <w:sz w:val="15"/>
              </w:rPr>
            </w:pPr>
          </w:p>
          <w:p>
            <w:pPr>
              <w:pStyle w:val="TableParagraph"/>
              <w:ind w:left="10"/>
              <w:jc w:val="center"/>
              <w:rPr>
                <w:rFonts w:ascii="Times New Roman"/>
                <w:sz w:val="20"/>
              </w:rPr>
            </w:pPr>
            <w:r>
              <w:rPr>
                <w:rFonts w:ascii="Times New Roman"/>
                <w:color w:val="231F20"/>
                <w:sz w:val="20"/>
              </w:rPr>
              <w:t>4</w:t>
            </w:r>
          </w:p>
        </w:tc>
        <w:tc>
          <w:tcPr>
            <w:tcW w:w="6558" w:type="dxa"/>
          </w:tcPr>
          <w:p>
            <w:pPr>
              <w:pStyle w:val="TableParagraph"/>
              <w:spacing w:before="13" w:line="320" w:lineRule="atLeast"/>
              <w:ind w:left="577" w:right="1" w:hanging="467"/>
              <w:rPr>
                <w:sz w:val="20"/>
              </w:rPr>
            </w:pPr>
            <w:r>
              <w:rPr>
                <w:rFonts w:ascii="Times New Roman" w:eastAsia="Times New Roman"/>
                <w:color w:val="231F20"/>
                <w:sz w:val="20"/>
              </w:rPr>
              <w:t xml:space="preserve">4-1   </w:t>
            </w:r>
            <w:r>
              <w:rPr>
                <w:color w:val="231F20"/>
                <w:sz w:val="20"/>
              </w:rPr>
              <w:t>能运用结构与功能观、物质与能量观、稳态与平衡观等观念，阐释生物体组成结构和功能之间的关系、遗传与变异的物质和结构基础、稳态的维持和调节机制、生态系统的平衡原理等；运用进化与适应观阐释生物的多样性和统一性，以及与环境的关系；在新的问题情境中，能以生命观念为指导，解释生命现象，探究生命活动的规律；基于上述观念，能够将科学、技术、工程学和数学（</w:t>
            </w:r>
            <w:r>
              <w:rPr>
                <w:rFonts w:ascii="Times New Roman" w:eastAsia="Times New Roman"/>
                <w:color w:val="231F20"/>
                <w:sz w:val="20"/>
              </w:rPr>
              <w:t>STEM</w:t>
            </w:r>
            <w:r>
              <w:rPr>
                <w:color w:val="231F20"/>
                <w:sz w:val="20"/>
              </w:rPr>
              <w:t>） 知识和能力综合运用在实践活动中，解决生活中的实际问题。</w:t>
            </w:r>
          </w:p>
        </w:tc>
      </w:tr>
    </w:tbl>
    <w:p>
      <w:pPr>
        <w:spacing w:after="0" w:line="320" w:lineRule="atLeast"/>
        <w:rPr>
          <w:sz w:val="20"/>
        </w:rPr>
        <w:sectPr>
          <w:footerReference w:type="even" r:id="rId50"/>
          <w:footerReference w:type="default" r:id="rId51"/>
          <w:pgSz w:w="10780" w:h="15090"/>
          <w:pgMar w:top="1260" w:right="1460" w:bottom="1400" w:left="1480" w:header="989" w:footer="1217"/>
          <w:pgNumType w:start="53"/>
          <w:cols w:space="708"/>
        </w:sectPr>
      </w:pPr>
    </w:p>
    <w:p>
      <w:pPr>
        <w:pStyle w:val="BodyText"/>
        <w:rPr>
          <w:sz w:val="20"/>
        </w:rPr>
      </w:pPr>
    </w:p>
    <w:p>
      <w:pPr>
        <w:spacing w:before="210"/>
        <w:ind w:left="0" w:right="915" w:firstLine="0"/>
        <w:jc w:val="right"/>
        <w:rPr>
          <w:sz w:val="20"/>
        </w:rPr>
      </w:pPr>
      <w:r>
        <w:rPr>
          <w:color w:val="231F20"/>
          <w:sz w:val="20"/>
        </w:rPr>
        <w:t>续表</w:t>
      </w:r>
    </w:p>
    <w:p>
      <w:pPr>
        <w:pStyle w:val="BodyText"/>
        <w:spacing w:before="6"/>
        <w:rPr>
          <w:sz w:val="9"/>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643"/>
        <w:gridCol w:w="6558"/>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451"/>
          <w:jc w:val="left"/>
        </w:trPr>
        <w:tc>
          <w:tcPr>
            <w:tcW w:w="643" w:type="dxa"/>
          </w:tcPr>
          <w:p>
            <w:pPr>
              <w:pStyle w:val="TableParagraph"/>
              <w:spacing w:before="96"/>
              <w:ind w:left="99" w:right="89"/>
              <w:jc w:val="center"/>
              <w:rPr>
                <w:sz w:val="20"/>
              </w:rPr>
            </w:pPr>
            <w:r>
              <w:rPr>
                <w:color w:val="231F20"/>
                <w:sz w:val="20"/>
              </w:rPr>
              <w:t>水平</w:t>
            </w:r>
          </w:p>
        </w:tc>
        <w:tc>
          <w:tcPr>
            <w:tcW w:w="6558" w:type="dxa"/>
          </w:tcPr>
          <w:p>
            <w:pPr>
              <w:pStyle w:val="TableParagraph"/>
              <w:spacing w:before="70"/>
              <w:ind w:left="2776" w:right="2767"/>
              <w:jc w:val="center"/>
              <w:rPr>
                <w:sz w:val="24"/>
              </w:rPr>
            </w:pPr>
            <w:r>
              <w:rPr>
                <w:color w:val="231F20"/>
                <w:sz w:val="24"/>
              </w:rPr>
              <w:t>质量描述</w:t>
            </w:r>
          </w:p>
        </w:tc>
      </w:tr>
      <w:tr>
        <w:tblPrEx>
          <w:tblW w:w="0" w:type="auto"/>
          <w:jc w:val="left"/>
          <w:tblInd w:w="235" w:type="dxa"/>
          <w:tblLayout w:type="fixed"/>
          <w:tblCellMar>
            <w:top w:w="0" w:type="dxa"/>
            <w:left w:w="0" w:type="dxa"/>
            <w:bottom w:w="0" w:type="dxa"/>
            <w:right w:w="0" w:type="dxa"/>
          </w:tblCellMar>
          <w:tblLook w:val="01E0"/>
        </w:tblPrEx>
        <w:trPr>
          <w:trHeight w:val="6811"/>
          <w:jc w:val="left"/>
        </w:trPr>
        <w:tc>
          <w:tcPr>
            <w:tcW w:w="643"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9"/>
              <w:ind w:left="10"/>
              <w:jc w:val="center"/>
              <w:rPr>
                <w:rFonts w:ascii="Times New Roman"/>
                <w:sz w:val="20"/>
              </w:rPr>
            </w:pPr>
            <w:r>
              <w:rPr>
                <w:rFonts w:ascii="Times New Roman"/>
                <w:color w:val="231F20"/>
                <w:sz w:val="20"/>
              </w:rPr>
              <w:t>4</w:t>
            </w:r>
          </w:p>
        </w:tc>
        <w:tc>
          <w:tcPr>
            <w:tcW w:w="6558" w:type="dxa"/>
          </w:tcPr>
          <w:p>
            <w:pPr>
              <w:pStyle w:val="TableParagraph"/>
              <w:numPr>
                <w:ilvl w:val="1"/>
                <w:numId w:val="17"/>
              </w:numPr>
              <w:tabs>
                <w:tab w:val="left" w:pos="578"/>
              </w:tabs>
              <w:spacing w:before="76" w:after="0" w:line="300" w:lineRule="auto"/>
              <w:ind w:left="577" w:right="0" w:hanging="467"/>
              <w:jc w:val="left"/>
              <w:rPr>
                <w:sz w:val="20"/>
              </w:rPr>
            </w:pPr>
            <w:r>
              <w:rPr>
                <w:color w:val="231F20"/>
                <w:sz w:val="20"/>
              </w:rPr>
              <w:t>能基于事实和证据，采用归纳与概括、演绎与推理、模型与建模等方法，以恰当的形式阐释分子与细胞、遗传与变异、稳态与调节、生物与环境等相关概念的内涵，论述生物工程与技术的原理及其与社会之间的关系；在面对生产、生活中与生物学相关的新问题情境时，能熟练运用科学思维方法展开探讨、审视或论证；在面对有争议的社会议题时，能利用生物学重要概念或原理，通过逻辑推理阐明个人立场，作出决策并解决问题。</w:t>
            </w:r>
          </w:p>
          <w:p>
            <w:pPr>
              <w:pStyle w:val="TableParagraph"/>
              <w:numPr>
                <w:ilvl w:val="1"/>
                <w:numId w:val="17"/>
              </w:numPr>
              <w:tabs>
                <w:tab w:val="left" w:pos="578"/>
              </w:tabs>
              <w:spacing w:before="0" w:after="0" w:line="300" w:lineRule="auto"/>
              <w:ind w:left="577" w:right="0" w:hanging="467"/>
              <w:jc w:val="left"/>
              <w:rPr>
                <w:sz w:val="20"/>
              </w:rPr>
            </w:pPr>
            <w:r>
              <w:rPr>
                <w:color w:val="231F20"/>
                <w:spacing w:val="2"/>
                <w:sz w:val="20"/>
              </w:rPr>
              <w:t>能够针对日常生活和生产中的真实情境，提出清晰的、有价值的、</w:t>
            </w:r>
            <w:r>
              <w:rPr>
                <w:color w:val="231F20"/>
                <w:spacing w:val="8"/>
                <w:sz w:val="20"/>
              </w:rPr>
              <w:t>可探究的生命科学问题或生物工程需求，查阅相关资料、设计并</w:t>
            </w:r>
            <w:r>
              <w:rPr>
                <w:color w:val="231F20"/>
                <w:sz w:val="20"/>
              </w:rPr>
              <w:t>实施恰当可行的方案，运用多种方法如实记录，创造性地运用数学方法分析实验结果，并客观分析与评价生物技术产品在生产和生活中的应用所产生的效益和风险；能论证人类的活动对环境产生的影</w:t>
            </w:r>
            <w:r>
              <w:rPr>
                <w:color w:val="231F20"/>
                <w:spacing w:val="6"/>
                <w:sz w:val="20"/>
              </w:rPr>
              <w:t>响，阐释生物多样性对生态系统维持、人类生存和发展的重要意</w:t>
            </w:r>
            <w:r>
              <w:rPr>
                <w:color w:val="231F20"/>
                <w:sz w:val="20"/>
              </w:rPr>
              <w:t>义；在生物学的探究过程中起组织和引领作用，运用科学术语精确阐明实验结果，善于沟通，开展有效的合作。</w:t>
            </w:r>
          </w:p>
          <w:p>
            <w:pPr>
              <w:pStyle w:val="TableParagraph"/>
              <w:numPr>
                <w:ilvl w:val="1"/>
                <w:numId w:val="17"/>
              </w:numPr>
              <w:tabs>
                <w:tab w:val="left" w:pos="578"/>
              </w:tabs>
              <w:spacing w:before="0" w:after="0" w:line="300" w:lineRule="auto"/>
              <w:ind w:left="577" w:right="88" w:hanging="467"/>
              <w:jc w:val="both"/>
              <w:rPr>
                <w:sz w:val="20"/>
              </w:rPr>
            </w:pPr>
            <w:r>
              <w:rPr>
                <w:color w:val="231F20"/>
                <w:sz w:val="20"/>
              </w:rPr>
              <w:t>形成珍爱生命、人与自然和谐共处以及可持续发展的观念，养成保</w:t>
            </w:r>
            <w:r>
              <w:rPr>
                <w:color w:val="231F20"/>
                <w:spacing w:val="5"/>
                <w:sz w:val="20"/>
              </w:rPr>
              <w:t>护环境、维护生态平衡的行为习惯，积极参与绿色家庭、绿色学</w:t>
            </w:r>
            <w:r>
              <w:rPr>
                <w:color w:val="231F20"/>
                <w:sz w:val="20"/>
              </w:rPr>
              <w:t>校、绿色社区等行动，并提出人与环境和谐相处的合理化建议；养成健康文明的生活方式，自觉远离毒品，参与毒品危害的宣传；能够鉴别并自觉抵制封建迷信和伪科学；遵循正确的伦理道德，能对</w:t>
            </w:r>
          </w:p>
          <w:p>
            <w:pPr>
              <w:pStyle w:val="TableParagraph"/>
              <w:spacing w:line="255" w:lineRule="exact"/>
              <w:ind w:left="577"/>
              <w:rPr>
                <w:sz w:val="20"/>
              </w:rPr>
            </w:pPr>
            <w:r>
              <w:rPr>
                <w:color w:val="231F20"/>
                <w:sz w:val="20"/>
              </w:rPr>
              <w:t>生殖性克隆人等社会热点议题进行科学的评价。</w:t>
            </w:r>
          </w:p>
        </w:tc>
      </w:tr>
    </w:tbl>
    <w:p>
      <w:pPr>
        <w:pStyle w:val="BodyText"/>
      </w:pPr>
    </w:p>
    <w:p>
      <w:pPr>
        <w:pStyle w:val="BodyText"/>
      </w:pPr>
    </w:p>
    <w:p>
      <w:pPr>
        <w:pStyle w:val="Heading2"/>
        <w:spacing w:before="213"/>
        <w:ind w:left="540"/>
      </w:pPr>
      <w:r>
        <w:rPr>
          <w:color w:val="231F20"/>
        </w:rPr>
        <w:t>（三）学业质量水平与考试评价的关系</w:t>
      </w:r>
    </w:p>
    <w:p>
      <w:pPr>
        <w:pStyle w:val="BodyText"/>
        <w:spacing w:before="2"/>
        <w:rPr>
          <w:sz w:val="39"/>
        </w:rPr>
      </w:pPr>
    </w:p>
    <w:p>
      <w:pPr>
        <w:pStyle w:val="BodyText"/>
        <w:spacing w:line="328" w:lineRule="auto"/>
        <w:ind w:left="220" w:right="408" w:firstLine="480"/>
        <w:jc w:val="both"/>
      </w:pPr>
      <w:r>
        <w:rPr>
          <w:color w:val="231F20"/>
        </w:rPr>
        <w:t>学业质量标准是阶段性评价、学业水平考试命题的重要依据。学业质量水平二是高中毕业生在本学科应该达到的合格要求。学业质量水平四是学业水平等级性考试的命题依据。</w:t>
      </w:r>
    </w:p>
    <w:p>
      <w:pPr>
        <w:pStyle w:val="ListParagraph"/>
        <w:numPr>
          <w:ilvl w:val="0"/>
          <w:numId w:val="16"/>
        </w:numPr>
        <w:tabs>
          <w:tab w:val="left" w:pos="1008"/>
        </w:tabs>
        <w:spacing w:before="0" w:after="0" w:line="328" w:lineRule="auto"/>
        <w:ind w:left="220" w:right="400" w:firstLine="480"/>
        <w:jc w:val="both"/>
        <w:rPr>
          <w:sz w:val="24"/>
        </w:rPr>
      </w:pPr>
      <w:r>
        <w:rPr>
          <w:color w:val="231F20"/>
          <w:spacing w:val="6"/>
          <w:sz w:val="24"/>
        </w:rPr>
        <w:t>学业质量标准的每一级水平均包括生物学学科核心素养的四</w:t>
      </w:r>
      <w:r>
        <w:rPr>
          <w:color w:val="231F20"/>
          <w:sz w:val="24"/>
        </w:rPr>
        <w:t>个维度以及不同水平间的差异，主要表现在不同复杂程度的情境中运</w:t>
      </w:r>
    </w:p>
    <w:p>
      <w:pPr>
        <w:spacing w:after="0" w:line="328" w:lineRule="auto"/>
        <w:jc w:val="both"/>
        <w:rPr>
          <w:sz w:val="24"/>
        </w:rPr>
        <w:sectPr>
          <w:pgSz w:w="10780" w:h="15090"/>
          <w:pgMar w:top="1260" w:right="1460" w:bottom="1400" w:left="1480" w:header="1029" w:footer="1217"/>
          <w:cols w:space="708"/>
        </w:sectPr>
      </w:pPr>
    </w:p>
    <w:p>
      <w:pPr>
        <w:pStyle w:val="BodyText"/>
        <w:spacing w:before="10"/>
        <w:rPr>
          <w:sz w:val="29"/>
        </w:rPr>
      </w:pPr>
    </w:p>
    <w:p>
      <w:pPr>
        <w:pStyle w:val="BodyText"/>
        <w:spacing w:before="67" w:line="328" w:lineRule="auto"/>
        <w:ind w:left="390" w:right="220"/>
      </w:pPr>
      <w:r>
        <w:rPr>
          <w:color w:val="231F20"/>
        </w:rPr>
        <w:t>用各种重要概念和方法解决问题的程度，水平从低到高具有递进关系。</w:t>
      </w:r>
    </w:p>
    <w:p>
      <w:pPr>
        <w:pStyle w:val="ListParagraph"/>
        <w:numPr>
          <w:ilvl w:val="0"/>
          <w:numId w:val="16"/>
        </w:numPr>
        <w:tabs>
          <w:tab w:val="left" w:pos="1179"/>
        </w:tabs>
        <w:spacing w:before="0" w:after="0" w:line="328" w:lineRule="auto"/>
        <w:ind w:left="390" w:right="232" w:firstLine="480"/>
        <w:jc w:val="both"/>
        <w:rPr>
          <w:sz w:val="24"/>
        </w:rPr>
      </w:pPr>
      <w:r>
        <w:rPr>
          <w:color w:val="231F20"/>
          <w:spacing w:val="3"/>
          <w:sz w:val="24"/>
        </w:rPr>
        <w:t>一、二级水平，除解决问题的情境相对简单和解决问题的程</w:t>
      </w:r>
      <w:r>
        <w:rPr>
          <w:color w:val="231F20"/>
          <w:spacing w:val="-1"/>
          <w:sz w:val="24"/>
        </w:rPr>
        <w:t>度相对较低外，涉及的大概念、方法等仅限于必修课程内容，是本学</w:t>
      </w:r>
      <w:r>
        <w:rPr>
          <w:color w:val="231F20"/>
          <w:sz w:val="24"/>
        </w:rPr>
        <w:t>科学业水平合格考试的命题依据。</w:t>
      </w:r>
    </w:p>
    <w:p>
      <w:pPr>
        <w:pStyle w:val="ListParagraph"/>
        <w:numPr>
          <w:ilvl w:val="0"/>
          <w:numId w:val="16"/>
        </w:numPr>
        <w:tabs>
          <w:tab w:val="left" w:pos="1179"/>
        </w:tabs>
        <w:spacing w:before="0" w:after="0" w:line="328" w:lineRule="auto"/>
        <w:ind w:left="390" w:right="228" w:firstLine="480"/>
        <w:jc w:val="both"/>
        <w:rPr>
          <w:sz w:val="24"/>
        </w:rPr>
      </w:pPr>
      <w:r>
        <w:rPr>
          <w:color w:val="231F20"/>
          <w:spacing w:val="2"/>
          <w:sz w:val="24"/>
        </w:rPr>
        <w:t>三、四级水平，解决问题的情境相对复杂，解决问题的程度</w:t>
      </w:r>
      <w:r>
        <w:rPr>
          <w:color w:val="231F20"/>
          <w:sz w:val="24"/>
        </w:rPr>
        <w:t>要求相对较高，涉及的大概念、方法等包括必修课程和选择性必修课程的全部内容，是本学科学业水平等级性考试的命题依据。</w:t>
      </w:r>
    </w:p>
    <w:p>
      <w:pPr>
        <w:spacing w:after="0" w:line="328" w:lineRule="auto"/>
        <w:jc w:val="both"/>
        <w:rPr>
          <w:sz w:val="24"/>
        </w:rPr>
        <w:sectPr>
          <w:pgSz w:w="10780" w:h="15090"/>
          <w:pgMar w:top="1260" w:right="1460" w:bottom="1400" w:left="1480" w:header="989" w:footer="1217"/>
          <w:cols w:space="70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ind w:left="220"/>
      </w:pPr>
      <w:r>
        <w:rPr>
          <w:color w:val="231F20"/>
        </w:rPr>
        <w:t>六、实施建议</w:t>
      </w:r>
    </w:p>
    <w:p>
      <w:pPr>
        <w:pStyle w:val="BodyText"/>
        <w:rPr>
          <w:sz w:val="56"/>
        </w:rPr>
      </w:pPr>
    </w:p>
    <w:p>
      <w:pPr>
        <w:pStyle w:val="BodyText"/>
        <w:rPr>
          <w:sz w:val="56"/>
        </w:rPr>
      </w:pPr>
    </w:p>
    <w:p>
      <w:pPr>
        <w:pStyle w:val="BodyText"/>
        <w:spacing w:before="4"/>
        <w:rPr>
          <w:sz w:val="62"/>
        </w:rPr>
      </w:pPr>
    </w:p>
    <w:p>
      <w:pPr>
        <w:pStyle w:val="Heading2"/>
        <w:ind w:left="540"/>
      </w:pPr>
      <w:r>
        <w:rPr>
          <w:color w:val="231F20"/>
        </w:rPr>
        <w:t>（一）教学与评价建议</w:t>
      </w:r>
    </w:p>
    <w:p>
      <w:pPr>
        <w:pStyle w:val="BodyText"/>
        <w:spacing w:before="12"/>
        <w:rPr>
          <w:sz w:val="36"/>
        </w:rPr>
      </w:pPr>
    </w:p>
    <w:p>
      <w:pPr>
        <w:pStyle w:val="ListParagraph"/>
        <w:numPr>
          <w:ilvl w:val="0"/>
          <w:numId w:val="15"/>
        </w:numPr>
        <w:tabs>
          <w:tab w:val="left" w:pos="1021"/>
        </w:tabs>
        <w:spacing w:before="0" w:after="0" w:line="240" w:lineRule="auto"/>
        <w:ind w:left="1020" w:right="0" w:hanging="321"/>
        <w:jc w:val="both"/>
        <w:rPr>
          <w:sz w:val="24"/>
        </w:rPr>
      </w:pPr>
      <w:r>
        <w:rPr>
          <w:color w:val="231F20"/>
          <w:sz w:val="24"/>
        </w:rPr>
        <w:t>教学建议</w:t>
      </w:r>
    </w:p>
    <w:p>
      <w:pPr>
        <w:pStyle w:val="BodyText"/>
        <w:spacing w:before="198" w:line="328" w:lineRule="auto"/>
        <w:ind w:left="220" w:right="408" w:firstLine="480"/>
        <w:jc w:val="both"/>
      </w:pPr>
      <w:r>
        <w:rPr>
          <w:color w:val="231F20"/>
        </w:rPr>
        <w:t>本课程标准是高中生物学教学的依据。教师应在认真学习和领会的基础上，结合学校和学生的实际，创造性地开展教学工作。生物学课程的根本任务是提高学生终身发展所需的生物学学科核心素养。完成这样的教学任务，教师需要在教学过程中关注每一个学生，关注每一节课的学习过程，努力促进学生在原有基础上良好发展。为此提出以下教学建议。</w:t>
      </w:r>
    </w:p>
    <w:p>
      <w:pPr>
        <w:pStyle w:val="ListParagraph"/>
        <w:numPr>
          <w:ilvl w:val="1"/>
          <w:numId w:val="15"/>
        </w:numPr>
        <w:tabs>
          <w:tab w:val="left" w:pos="1275"/>
        </w:tabs>
        <w:spacing w:before="0" w:after="0" w:line="301" w:lineRule="exact"/>
        <w:ind w:left="1274" w:right="0" w:hanging="575"/>
        <w:jc w:val="both"/>
        <w:rPr>
          <w:sz w:val="24"/>
        </w:rPr>
      </w:pPr>
      <w:r>
        <w:rPr>
          <w:color w:val="231F20"/>
          <w:sz w:val="24"/>
        </w:rPr>
        <w:t>高度关注生物学学科核心素养的达成</w:t>
      </w:r>
    </w:p>
    <w:p>
      <w:pPr>
        <w:pStyle w:val="BodyText"/>
        <w:spacing w:before="111" w:line="328" w:lineRule="auto"/>
        <w:ind w:left="220" w:right="288" w:firstLine="480"/>
      </w:pPr>
      <w:r>
        <w:rPr>
          <w:color w:val="231F20"/>
        </w:rPr>
        <w:t>培养学生生物学学科核心素养是本课程的价值追求，也是课程预期的教学目标。核心素养所涵盖的生命观念、科学思维、科学探究、社会责任四个方面的基本要求，是较以往生物学课程更具有挑战性的教学要求，需要通过每节课或每项活动来逐步培养形成。教师在制订每个单元、每节课（或活动）的教学计划时，都要全面考虑核心素养任务的针对性落实和有效完成。同时，根据不同的教学内容，在落实核心素养时其侧重点也应该有所不同。在科学技术迅猛发展、技术产品高度融入生活的时代，获得并提升生物学学科核心素养关乎学生一</w:t>
      </w:r>
    </w:p>
    <w:p>
      <w:pPr>
        <w:spacing w:after="0" w:line="328" w:lineRule="auto"/>
        <w:sectPr>
          <w:headerReference w:type="even" r:id="rId52"/>
          <w:footerReference w:type="even" r:id="rId53"/>
          <w:footerReference w:type="default" r:id="rId54"/>
          <w:pgSz w:w="10780" w:h="15090"/>
          <w:pgMar w:top="1420" w:right="1460" w:bottom="1400" w:left="1480" w:header="0" w:footer="1217"/>
          <w:pgNumType w:start="56"/>
          <w:cols w:space="708"/>
        </w:sectPr>
      </w:pPr>
    </w:p>
    <w:p>
      <w:pPr>
        <w:pStyle w:val="BodyText"/>
        <w:spacing w:before="10"/>
        <w:rPr>
          <w:sz w:val="29"/>
        </w:rPr>
      </w:pPr>
    </w:p>
    <w:p>
      <w:pPr>
        <w:pStyle w:val="BodyText"/>
        <w:spacing w:before="67" w:line="328" w:lineRule="auto"/>
        <w:ind w:left="390" w:right="238"/>
      </w:pPr>
      <w:r>
        <w:rPr>
          <w:color w:val="231F20"/>
        </w:rPr>
        <w:t>生的发展。因此，要在扩展、深入学习生物学知识的同时，特别注意对学生能力和品格方面的要求。</w:t>
      </w:r>
    </w:p>
    <w:p>
      <w:pPr>
        <w:pStyle w:val="ListParagraph"/>
        <w:numPr>
          <w:ilvl w:val="1"/>
          <w:numId w:val="15"/>
        </w:numPr>
        <w:tabs>
          <w:tab w:val="left" w:pos="1449"/>
          <w:tab w:val="left" w:pos="1450"/>
        </w:tabs>
        <w:spacing w:before="0" w:after="0" w:line="328" w:lineRule="auto"/>
        <w:ind w:left="390" w:right="233" w:firstLine="480"/>
        <w:jc w:val="left"/>
        <w:rPr>
          <w:sz w:val="24"/>
        </w:rPr>
      </w:pPr>
      <w:r>
        <w:rPr>
          <w:color w:val="231F20"/>
          <w:spacing w:val="5"/>
          <w:sz w:val="24"/>
        </w:rPr>
        <w:t>组织以探究为特点的主动学习是落实生物学学科核心素养</w:t>
      </w:r>
      <w:r>
        <w:rPr>
          <w:color w:val="231F20"/>
          <w:sz w:val="24"/>
        </w:rPr>
        <w:t>的关键</w:t>
      </w:r>
    </w:p>
    <w:p>
      <w:pPr>
        <w:pStyle w:val="BodyText"/>
        <w:spacing w:line="328" w:lineRule="auto"/>
        <w:ind w:left="390" w:right="121" w:firstLine="480"/>
      </w:pPr>
      <w:r>
        <w:rPr>
          <w:color w:val="231F20"/>
          <w:spacing w:val="29"/>
        </w:rPr>
        <w:t>以探究为特点的教学不仅会直接影响核心素养中“科学思</w:t>
      </w:r>
      <w:r>
        <w:rPr>
          <w:color w:val="231F20"/>
          <w:spacing w:val="-5"/>
        </w:rPr>
        <w:t>维”“科学探究”的落实，也会间接影响另外两个核心素养的达成。</w:t>
      </w:r>
      <w:r>
        <w:rPr>
          <w:color w:val="231F20"/>
        </w:rPr>
        <w:t>因此，生物学教学不仅是教师讲解和演示的过程，也是师生交流、共</w:t>
      </w:r>
      <w:r>
        <w:rPr>
          <w:color w:val="231F20"/>
          <w:spacing w:val="7"/>
        </w:rPr>
        <w:t>同发展的互动过程。教师应该提供更多的机会让学生亲自参与和实</w:t>
      </w:r>
      <w:r>
        <w:rPr>
          <w:color w:val="231F20"/>
          <w:spacing w:val="31"/>
        </w:rPr>
        <w:t>践</w:t>
      </w:r>
      <w:r>
        <w:rPr>
          <w:rFonts w:ascii="Times New Roman" w:eastAsia="Times New Roman" w:hAnsi="Times New Roman"/>
          <w:color w:val="231F20"/>
          <w:spacing w:val="-15"/>
        </w:rPr>
        <w:t xml:space="preserve">, </w:t>
      </w:r>
      <w:r>
        <w:rPr>
          <w:color w:val="231F20"/>
          <w:spacing w:val="2"/>
        </w:rPr>
        <w:t>重视信息化环境下的学习。这种有目的、有步骤的学生自主学习</w:t>
      </w:r>
      <w:r>
        <w:rPr>
          <w:color w:val="231F20"/>
        </w:rPr>
        <w:t>活动主要包括对生物及其相关事物进行观察、描述、提出问题、查找信息、提出假设、验证假设、思维判断、作出解释，并能与他人合</w:t>
      </w:r>
      <w:r>
        <w:rPr>
          <w:color w:val="231F20"/>
          <w:spacing w:val="12"/>
        </w:rPr>
        <w:t>作和交流等。在此过程中，培养学生的创新精神和实践能力。</w:t>
      </w:r>
    </w:p>
    <w:p>
      <w:pPr>
        <w:pStyle w:val="BodyText"/>
        <w:spacing w:line="297" w:lineRule="exact"/>
        <w:ind w:left="870"/>
      </w:pPr>
      <w:r>
        <w:rPr>
          <w:color w:val="231F20"/>
        </w:rPr>
        <w:t>在引导和组织学生进行上述探究性学习时应注意以下事项。</w:t>
      </w:r>
    </w:p>
    <w:p>
      <w:pPr>
        <w:pStyle w:val="BodyText"/>
        <w:spacing w:before="108" w:line="328" w:lineRule="auto"/>
        <w:ind w:left="390" w:right="119" w:firstLine="480"/>
      </w:pPr>
      <w:r>
        <w:rPr>
          <w:color w:val="231F20"/>
        </w:rPr>
        <w:t>探究性学习不是全部的教学活动。教师应结合具体的教学内容， 采用多种不同的教学策略和方法，达到教学目标。</w:t>
      </w:r>
    </w:p>
    <w:p>
      <w:pPr>
        <w:pStyle w:val="ListParagraph"/>
        <w:numPr>
          <w:ilvl w:val="0"/>
          <w:numId w:val="14"/>
        </w:numPr>
        <w:tabs>
          <w:tab w:val="left" w:pos="1352"/>
        </w:tabs>
        <w:spacing w:before="0" w:after="0" w:line="328" w:lineRule="auto"/>
        <w:ind w:left="390" w:right="118" w:firstLine="360"/>
        <w:jc w:val="left"/>
        <w:rPr>
          <w:sz w:val="24"/>
        </w:rPr>
      </w:pPr>
      <w:r>
        <w:rPr>
          <w:color w:val="231F20"/>
          <w:sz w:val="24"/>
        </w:rPr>
        <w:t>需要为探究性学习创设情境。例如，提供相关的图文信息资</w:t>
      </w:r>
      <w:r>
        <w:rPr>
          <w:color w:val="231F20"/>
          <w:spacing w:val="-1"/>
          <w:sz w:val="24"/>
        </w:rPr>
        <w:t xml:space="preserve">料、数据，或呈现生物的标本、模型、生活环境的图片或影像资料， </w:t>
      </w:r>
      <w:r>
        <w:rPr>
          <w:color w:val="231F20"/>
          <w:sz w:val="24"/>
        </w:rPr>
        <w:t>或从学生的生活经验、经历中提出探究性的问题，或从社会关注的与生物学有关的热点问题切入。</w:t>
      </w:r>
    </w:p>
    <w:p>
      <w:pPr>
        <w:pStyle w:val="ListParagraph"/>
        <w:numPr>
          <w:ilvl w:val="0"/>
          <w:numId w:val="14"/>
        </w:numPr>
        <w:tabs>
          <w:tab w:val="left" w:pos="1352"/>
        </w:tabs>
        <w:spacing w:before="0" w:after="0" w:line="328" w:lineRule="auto"/>
        <w:ind w:left="390" w:right="239" w:firstLine="360"/>
        <w:jc w:val="both"/>
        <w:rPr>
          <w:sz w:val="24"/>
        </w:rPr>
      </w:pPr>
      <w:r>
        <w:rPr>
          <w:color w:val="231F20"/>
          <w:spacing w:val="-1"/>
          <w:sz w:val="24"/>
        </w:rPr>
        <w:t>应该鼓励学生自己观察、思考、提问，并在提出假设的基础上进行探究活动方案的设计和实施。在小组合作探究时，教师应兼顾不同发展水平的学生，成员间要分工明确并适时调整，使每一成员都</w:t>
      </w:r>
      <w:r>
        <w:rPr>
          <w:color w:val="231F20"/>
          <w:sz w:val="24"/>
        </w:rPr>
        <w:t>有机会担任不同的角色。</w:t>
      </w:r>
    </w:p>
    <w:p>
      <w:pPr>
        <w:pStyle w:val="ListParagraph"/>
        <w:numPr>
          <w:ilvl w:val="0"/>
          <w:numId w:val="14"/>
        </w:numPr>
        <w:tabs>
          <w:tab w:val="left" w:pos="1352"/>
        </w:tabs>
        <w:spacing w:before="0" w:after="0" w:line="328" w:lineRule="auto"/>
        <w:ind w:left="390" w:right="239" w:firstLine="360"/>
        <w:jc w:val="both"/>
        <w:rPr>
          <w:sz w:val="24"/>
        </w:rPr>
      </w:pPr>
      <w:r>
        <w:rPr>
          <w:color w:val="231F20"/>
          <w:spacing w:val="-1"/>
          <w:sz w:val="24"/>
        </w:rPr>
        <w:t>注意探究性学习活动的课内、外结合。教师应有计划地安排好需要用一定时间才能完成的课外活动，包括必要的调查、访问、参</w:t>
      </w:r>
      <w:r>
        <w:rPr>
          <w:color w:val="231F20"/>
          <w:sz w:val="24"/>
        </w:rPr>
        <w:t>观、资料收集整理以及观察记录等。</w:t>
      </w:r>
    </w:p>
    <w:p>
      <w:pPr>
        <w:pStyle w:val="ListParagraph"/>
        <w:numPr>
          <w:ilvl w:val="0"/>
          <w:numId w:val="14"/>
        </w:numPr>
        <w:tabs>
          <w:tab w:val="left" w:pos="1352"/>
        </w:tabs>
        <w:spacing w:before="0" w:after="0" w:line="328" w:lineRule="auto"/>
        <w:ind w:left="390" w:right="239" w:firstLine="360"/>
        <w:jc w:val="left"/>
        <w:rPr>
          <w:sz w:val="24"/>
        </w:rPr>
      </w:pPr>
      <w:r>
        <w:rPr>
          <w:color w:val="231F20"/>
          <w:spacing w:val="-1"/>
          <w:sz w:val="24"/>
        </w:rPr>
        <w:t>重视探究性学习报告的完成和交流。教师应培养学生通过文字描述、数字表格、示意图、曲线图等方式完成报告，组织交流探究</w:t>
      </w:r>
    </w:p>
    <w:p>
      <w:pPr>
        <w:spacing w:after="0" w:line="328" w:lineRule="auto"/>
        <w:jc w:val="left"/>
        <w:rPr>
          <w:sz w:val="24"/>
        </w:rPr>
        <w:sectPr>
          <w:headerReference w:type="even" r:id="rId55"/>
          <w:headerReference w:type="default" r:id="rId56"/>
          <w:pgSz w:w="10780" w:h="15090"/>
          <w:pgMar w:top="1260" w:right="1460" w:bottom="1400" w:left="1480" w:header="1029" w:footer="1217"/>
          <w:cols w:space="708"/>
        </w:sectPr>
      </w:pPr>
    </w:p>
    <w:p>
      <w:pPr>
        <w:pStyle w:val="BodyText"/>
        <w:rPr>
          <w:sz w:val="20"/>
        </w:rPr>
      </w:pPr>
    </w:p>
    <w:p>
      <w:pPr>
        <w:pStyle w:val="BodyText"/>
        <w:spacing w:before="203"/>
        <w:ind w:left="220"/>
      </w:pPr>
      <w:r>
        <w:rPr>
          <w:color w:val="231F20"/>
        </w:rPr>
        <w:t>的过程和结果，并进行适当的评价。</w:t>
      </w:r>
    </w:p>
    <w:p>
      <w:pPr>
        <w:pStyle w:val="ListParagraph"/>
        <w:numPr>
          <w:ilvl w:val="0"/>
          <w:numId w:val="14"/>
        </w:numPr>
        <w:tabs>
          <w:tab w:val="left" w:pos="1182"/>
        </w:tabs>
        <w:spacing w:before="112" w:after="0" w:line="328" w:lineRule="auto"/>
        <w:ind w:left="220" w:right="408" w:firstLine="360"/>
        <w:jc w:val="both"/>
        <w:rPr>
          <w:sz w:val="24"/>
        </w:rPr>
      </w:pPr>
      <w:r>
        <w:rPr>
          <w:color w:val="231F20"/>
          <w:spacing w:val="-1"/>
          <w:sz w:val="24"/>
        </w:rPr>
        <w:t>充分利用信息技术提高课堂教学效率。信息技术的快速发展为生物学课堂提供了诸如图片、视频、模拟实验等丰富多样的教学资</w:t>
      </w:r>
      <w:r>
        <w:rPr>
          <w:color w:val="231F20"/>
          <w:sz w:val="24"/>
        </w:rPr>
        <w:t>源。充分利用以“互联网+”为代表的教育技术可在一定程度上减少</w:t>
      </w:r>
      <w:r>
        <w:rPr>
          <w:color w:val="231F20"/>
          <w:spacing w:val="-1"/>
          <w:sz w:val="24"/>
        </w:rPr>
        <w:t>主动学习活动对实验耗材及相关场地条件的依赖。教师应充分利用这</w:t>
      </w:r>
      <w:r>
        <w:rPr>
          <w:color w:val="231F20"/>
          <w:sz w:val="24"/>
        </w:rPr>
        <w:t>一技术优势，开展多种形式的主动学习活动，提高教学效果。</w:t>
      </w:r>
    </w:p>
    <w:p>
      <w:pPr>
        <w:pStyle w:val="ListParagraph"/>
        <w:numPr>
          <w:ilvl w:val="1"/>
          <w:numId w:val="15"/>
        </w:numPr>
        <w:tabs>
          <w:tab w:val="left" w:pos="1275"/>
        </w:tabs>
        <w:spacing w:before="0" w:after="0" w:line="303" w:lineRule="exact"/>
        <w:ind w:left="1274" w:right="0" w:hanging="575"/>
        <w:jc w:val="both"/>
        <w:rPr>
          <w:sz w:val="24"/>
        </w:rPr>
      </w:pPr>
      <w:r>
        <w:rPr>
          <w:color w:val="231F20"/>
          <w:sz w:val="24"/>
        </w:rPr>
        <w:t>通过大概念的学习，帮助学生形成生命观念</w:t>
      </w:r>
    </w:p>
    <w:p>
      <w:pPr>
        <w:pStyle w:val="BodyText"/>
        <w:spacing w:before="111" w:line="328" w:lineRule="auto"/>
        <w:ind w:left="220" w:right="288" w:firstLine="480"/>
      </w:pPr>
      <w:r>
        <w:rPr>
          <w:color w:val="231F20"/>
        </w:rPr>
        <w:t>大概念是处于学科中心位置、对学生学习具有引领作用的基础知识。在生物学课程中，大概念包括了对原理、理论等的理解和解释， 是生物学科知识的主干部分。高中生物学课程的必修课程和选择性必修课程都是围绕着几个大概念展开的，内容要求基于大概念描述了具有学科逻辑、符合高中学生认知特点的重要概念，形成了课程的内容框架。在教学中，教师围绕着生物学大概念组织并开展教学活动，能有效地提高教学效益，有助于学生对知识的深入理解和迁移应用，也有助于发展学生的生命观念。</w:t>
      </w:r>
    </w:p>
    <w:p>
      <w:pPr>
        <w:pStyle w:val="BodyText"/>
        <w:spacing w:line="328" w:lineRule="auto"/>
        <w:ind w:left="220" w:right="396" w:firstLine="480"/>
        <w:jc w:val="both"/>
      </w:pPr>
      <w:r>
        <w:rPr>
          <w:color w:val="231F20"/>
        </w:rPr>
        <w:t>教师在设计和组织每个单元的教学活动时，应该围绕大概念和重要概念展开，依据重要概念精选恰当的教学活动内容和活动方式，其教学策略既可以是讲解、演示、讨论，也可以是基于学生动手活动或对资料的分析及探究，所有的教学活动都要有利于促进学生对生物学概念的建立、理解和应用。</w:t>
      </w:r>
    </w:p>
    <w:p>
      <w:pPr>
        <w:pStyle w:val="BodyText"/>
        <w:spacing w:line="328" w:lineRule="auto"/>
        <w:ind w:left="220" w:right="290" w:firstLine="480"/>
      </w:pPr>
      <w:r>
        <w:rPr>
          <w:color w:val="231F20"/>
        </w:rPr>
        <w:t>为了帮助学生形成正确的生物学重要概念进而建立生物学观念， 教师一方面需要向学生提供各种丰富的、有代表性的事实来为学生的概念形成提供支撑；另一方面，教学活动不应仅仅停留在让学生记住一些零散的生物学事实的层面上，而是要通过对事实的抽象和概括， 帮助学生建立生物学概念，并以此来建构合理的知识框架，为学生能够在新情境下解决相关问题奠定基础。在教学过程中，教师还必须注意学生头脑中已有的前概念，特别是那些与科学概念相抵触的错误概念。课堂教学活动要帮助学生消除错误概念，建立科学概念。</w:t>
      </w:r>
    </w:p>
    <w:p>
      <w:pPr>
        <w:spacing w:after="0" w:line="328" w:lineRule="auto"/>
        <w:sectPr>
          <w:footerReference w:type="even" r:id="rId57"/>
          <w:footerReference w:type="default" r:id="rId58"/>
          <w:pgSz w:w="10780" w:h="15090"/>
          <w:pgMar w:top="1260" w:right="1460" w:bottom="1400" w:left="1480" w:header="1029" w:footer="1217"/>
          <w:pgNumType w:start="58"/>
          <w:cols w:space="708"/>
        </w:sectPr>
      </w:pPr>
    </w:p>
    <w:p>
      <w:pPr>
        <w:pStyle w:val="BodyText"/>
        <w:spacing w:before="6"/>
        <w:rPr>
          <w:sz w:val="29"/>
        </w:rPr>
      </w:pPr>
    </w:p>
    <w:p>
      <w:pPr>
        <w:pStyle w:val="ListParagraph"/>
        <w:numPr>
          <w:ilvl w:val="1"/>
          <w:numId w:val="15"/>
        </w:numPr>
        <w:tabs>
          <w:tab w:val="left" w:pos="1444"/>
          <w:tab w:val="left" w:pos="1445"/>
        </w:tabs>
        <w:spacing w:before="73" w:after="0" w:line="240" w:lineRule="auto"/>
        <w:ind w:left="1444" w:right="0" w:hanging="575"/>
        <w:jc w:val="left"/>
        <w:rPr>
          <w:sz w:val="24"/>
        </w:rPr>
      </w:pPr>
      <w:r>
        <w:rPr>
          <w:color w:val="231F20"/>
          <w:sz w:val="24"/>
        </w:rPr>
        <w:t>加强和完善生物学实验教学</w:t>
      </w:r>
    </w:p>
    <w:p>
      <w:pPr>
        <w:pStyle w:val="BodyText"/>
        <w:spacing w:before="111" w:line="328" w:lineRule="auto"/>
        <w:ind w:left="390" w:right="120" w:firstLine="480"/>
      </w:pPr>
      <w:r>
        <w:rPr>
          <w:color w:val="231F20"/>
        </w:rPr>
        <w:t>本课程标准所说的“实验教学”是指教师组织学生在生物学实验室和校园内外开展的教学活动，既可以是动手、观察类的实践活动， 也可以是以问题解决为特点的探究活动。实验教学是生物学课程的特点，也是生物学教学的基本形式之一。课程内容中教学提示部分所列的教学活动有一部分就是实验教学。实验教学是促成学生达成生物学学科核心素养的重要支撑。</w:t>
      </w:r>
    </w:p>
    <w:p>
      <w:pPr>
        <w:pStyle w:val="BodyText"/>
        <w:spacing w:line="300" w:lineRule="exact"/>
        <w:ind w:left="870"/>
      </w:pPr>
      <w:r>
        <w:rPr>
          <w:color w:val="231F20"/>
        </w:rPr>
        <w:t>为更好地开展实验教学，建议教师注意以下几点。</w:t>
      </w:r>
    </w:p>
    <w:p>
      <w:pPr>
        <w:pStyle w:val="ListParagraph"/>
        <w:numPr>
          <w:ilvl w:val="0"/>
          <w:numId w:val="13"/>
        </w:numPr>
        <w:tabs>
          <w:tab w:val="left" w:pos="1352"/>
        </w:tabs>
        <w:spacing w:before="112" w:after="0" w:line="328" w:lineRule="auto"/>
        <w:ind w:left="390" w:right="120" w:firstLine="360"/>
        <w:jc w:val="left"/>
        <w:rPr>
          <w:sz w:val="24"/>
        </w:rPr>
      </w:pPr>
      <w:r>
        <w:rPr>
          <w:color w:val="231F20"/>
          <w:sz w:val="24"/>
        </w:rPr>
        <w:t>实验设计应该多样化。例如，可以采用比较规范的实验仪器设备设计实验，也可以设计低成本、低消耗、低（无）污染的教学实验；可以采用生物材料设计和开展实验，也可以利用电子设备设计、完成模拟性实验；有条件的学校还可以充分利用多媒体、互联网及无线通信技术进行虚拟实验。应鼓励学生参与设计实验。</w:t>
      </w:r>
    </w:p>
    <w:p>
      <w:pPr>
        <w:pStyle w:val="ListParagraph"/>
        <w:numPr>
          <w:ilvl w:val="0"/>
          <w:numId w:val="13"/>
        </w:numPr>
        <w:tabs>
          <w:tab w:val="left" w:pos="1352"/>
        </w:tabs>
        <w:spacing w:before="0" w:after="0" w:line="328" w:lineRule="auto"/>
        <w:ind w:left="390" w:right="238" w:firstLine="360"/>
        <w:jc w:val="both"/>
        <w:rPr>
          <w:sz w:val="24"/>
        </w:rPr>
      </w:pPr>
      <w:r>
        <w:rPr>
          <w:color w:val="231F20"/>
          <w:spacing w:val="-1"/>
          <w:sz w:val="24"/>
        </w:rPr>
        <w:t>在重视定性实验的同时，也应重视定量实验，让学生在量的变化中了解事物的本质。教师应给学生提供机会学习生物学研究中的测量方法，实事求是地记录、整理和分析实验数据，定量表述实验结</w:t>
      </w:r>
      <w:r>
        <w:rPr>
          <w:color w:val="231F20"/>
          <w:sz w:val="24"/>
        </w:rPr>
        <w:t>果等。</w:t>
      </w:r>
    </w:p>
    <w:p>
      <w:pPr>
        <w:pStyle w:val="ListParagraph"/>
        <w:numPr>
          <w:ilvl w:val="0"/>
          <w:numId w:val="13"/>
        </w:numPr>
        <w:tabs>
          <w:tab w:val="left" w:pos="1352"/>
        </w:tabs>
        <w:spacing w:before="0" w:after="0" w:line="328" w:lineRule="auto"/>
        <w:ind w:left="390" w:right="118" w:firstLine="360"/>
        <w:jc w:val="left"/>
        <w:rPr>
          <w:sz w:val="24"/>
        </w:rPr>
      </w:pPr>
      <w:r>
        <w:rPr>
          <w:color w:val="231F20"/>
          <w:sz w:val="24"/>
        </w:rPr>
        <w:t>要注意实验安全教育。安全使用实验器具（如解剖器具、玻璃器皿、酒精灯等）和实验药品（如酒精、酸、碱等）是生物学实验的基本技能。教师应强化安全教育，增强学生自我保护意识。同时， 要注意实验室废弃物的妥善处理。</w:t>
      </w:r>
    </w:p>
    <w:p>
      <w:pPr>
        <w:pStyle w:val="ListParagraph"/>
        <w:numPr>
          <w:ilvl w:val="1"/>
          <w:numId w:val="15"/>
        </w:numPr>
        <w:tabs>
          <w:tab w:val="left" w:pos="1444"/>
          <w:tab w:val="left" w:pos="1445"/>
        </w:tabs>
        <w:spacing w:before="0" w:after="0" w:line="304" w:lineRule="exact"/>
        <w:ind w:left="1444" w:right="0" w:hanging="575"/>
        <w:jc w:val="left"/>
        <w:rPr>
          <w:sz w:val="24"/>
        </w:rPr>
      </w:pPr>
      <w:r>
        <w:rPr>
          <w:color w:val="231F20"/>
          <w:sz w:val="24"/>
        </w:rPr>
        <w:t>落实科学、技术和社会相互关系的教育</w:t>
      </w:r>
    </w:p>
    <w:p>
      <w:pPr>
        <w:pStyle w:val="BodyText"/>
        <w:spacing w:before="100" w:line="328" w:lineRule="auto"/>
        <w:ind w:left="390" w:right="118" w:firstLine="480"/>
      </w:pPr>
      <w:r>
        <w:rPr>
          <w:color w:val="231F20"/>
          <w:spacing w:val="1"/>
        </w:rPr>
        <w:t>注重科学、技术和社会相互关系是贯穿本课程的重要主线之一， 也是生物学学科核心素养达成的重要途径。本课程标准在内容要求和</w:t>
      </w:r>
      <w:r>
        <w:rPr>
          <w:color w:val="231F20"/>
          <w:spacing w:val="-7"/>
        </w:rPr>
        <w:t>教学提示中多层面、多角度地强调了科学、技术和社会的相互关系教</w:t>
      </w:r>
      <w:r>
        <w:rPr>
          <w:color w:val="231F20"/>
          <w:spacing w:val="-12"/>
        </w:rPr>
        <w:t>育的重要性。</w:t>
      </w:r>
    </w:p>
    <w:p>
      <w:pPr>
        <w:pStyle w:val="BodyText"/>
        <w:spacing w:line="302" w:lineRule="exact"/>
        <w:ind w:left="870"/>
      </w:pPr>
      <w:r>
        <w:rPr>
          <w:color w:val="231F20"/>
        </w:rPr>
        <w:t>在教学中，教师应该注意以下几方面。</w:t>
      </w:r>
    </w:p>
    <w:p>
      <w:pPr>
        <w:pStyle w:val="BodyText"/>
        <w:spacing w:before="112"/>
        <w:ind w:left="750"/>
      </w:pPr>
      <w:r>
        <w:rPr>
          <w:color w:val="231F20"/>
        </w:rPr>
        <w:t>（</w:t>
      </w:r>
      <w:r>
        <w:rPr>
          <w:rFonts w:ascii="Times New Roman" w:eastAsia="Times New Roman"/>
          <w:color w:val="231F20"/>
        </w:rPr>
        <w:t>1</w:t>
      </w:r>
      <w:r>
        <w:rPr>
          <w:color w:val="231F20"/>
        </w:rPr>
        <w:t>）了解科学、技术、社会的相互关系，关注和参加与生物科学</w:t>
      </w:r>
    </w:p>
    <w:p>
      <w:pPr>
        <w:spacing w:after="0"/>
        <w:sectPr>
          <w:pgSz w:w="10780" w:h="15090"/>
          <w:pgMar w:top="1260" w:right="1460" w:bottom="1400" w:left="1480" w:header="989" w:footer="1217"/>
          <w:cols w:space="708"/>
        </w:sectPr>
      </w:pPr>
    </w:p>
    <w:p>
      <w:pPr>
        <w:pStyle w:val="BodyText"/>
        <w:rPr>
          <w:sz w:val="20"/>
        </w:rPr>
      </w:pPr>
    </w:p>
    <w:p>
      <w:pPr>
        <w:pStyle w:val="BodyText"/>
        <w:spacing w:before="203" w:line="328" w:lineRule="auto"/>
        <w:ind w:left="220" w:right="408"/>
        <w:jc w:val="both"/>
      </w:pPr>
      <w:r>
        <w:rPr>
          <w:color w:val="231F20"/>
        </w:rPr>
        <w:t>技术有关的个人与社会问题的讨论和决策，是生物学学科核心素养的重要组成部分，也是培养学生对自然和社会责任感的重要途径。教师应该重视渗透科学、技术、社会相互关系的教育，通过具体事例帮助学生认识生物学与社会发展的紧密联系。</w:t>
      </w:r>
    </w:p>
    <w:p>
      <w:pPr>
        <w:pStyle w:val="ListParagraph"/>
        <w:numPr>
          <w:ilvl w:val="0"/>
          <w:numId w:val="12"/>
        </w:numPr>
        <w:tabs>
          <w:tab w:val="left" w:pos="1182"/>
        </w:tabs>
        <w:spacing w:before="0" w:after="0" w:line="328" w:lineRule="auto"/>
        <w:ind w:left="220" w:right="287" w:firstLine="360"/>
        <w:jc w:val="left"/>
        <w:rPr>
          <w:sz w:val="24"/>
        </w:rPr>
      </w:pPr>
      <w:r>
        <w:rPr>
          <w:color w:val="231F20"/>
          <w:sz w:val="24"/>
        </w:rPr>
        <w:t>科学、技术、社会相互关系的问题涵盖面很广，包括全球性</w:t>
      </w:r>
      <w:r>
        <w:rPr>
          <w:color w:val="231F20"/>
          <w:spacing w:val="-1"/>
          <w:sz w:val="24"/>
        </w:rPr>
        <w:t>的、国家的、地区的科学技术与社会生活、生产、发展相关的问题。</w:t>
      </w:r>
      <w:r>
        <w:rPr>
          <w:color w:val="231F20"/>
          <w:sz w:val="24"/>
        </w:rPr>
        <w:t>教师要引导学生特别关注我国和学校所在地区与学生现实生活相关的问题，使学生积极思考与生物学有关的社会问题，宣传生物学知识和健康的生活方式，识别伪科学和迷信，尝试参与社会决策，培养学生</w:t>
      </w:r>
      <w:r>
        <w:rPr>
          <w:color w:val="231F20"/>
          <w:spacing w:val="6"/>
          <w:sz w:val="24"/>
        </w:rPr>
        <w:t>的社会责任感。生物学教学还应注意介绍相关的职业现状和发展趋</w:t>
      </w:r>
      <w:r>
        <w:rPr>
          <w:color w:val="231F20"/>
          <w:sz w:val="24"/>
        </w:rPr>
        <w:t>势，为学生选择学习和职业方向奠定必要的基础。</w:t>
      </w:r>
    </w:p>
    <w:p>
      <w:pPr>
        <w:pStyle w:val="ListParagraph"/>
        <w:numPr>
          <w:ilvl w:val="0"/>
          <w:numId w:val="12"/>
        </w:numPr>
        <w:tabs>
          <w:tab w:val="left" w:pos="1182"/>
        </w:tabs>
        <w:spacing w:before="0" w:after="0" w:line="328" w:lineRule="auto"/>
        <w:ind w:left="220" w:right="287" w:firstLine="360"/>
        <w:jc w:val="left"/>
        <w:rPr>
          <w:sz w:val="24"/>
        </w:rPr>
      </w:pPr>
      <w:r>
        <w:rPr>
          <w:color w:val="231F20"/>
          <w:sz w:val="24"/>
        </w:rPr>
        <w:t>生物科学技术和社会关系密切，内容丰富。教师应引导学生</w:t>
      </w:r>
      <w:r>
        <w:rPr>
          <w:color w:val="231F20"/>
          <w:spacing w:val="-1"/>
          <w:sz w:val="24"/>
        </w:rPr>
        <w:t>通过图书、报刊、音像和网络等了解更多的信息，开展调查、研究、</w:t>
      </w:r>
      <w:r>
        <w:rPr>
          <w:color w:val="231F20"/>
          <w:sz w:val="24"/>
        </w:rPr>
        <w:t>讨论和宣传等活动，理解生物科学技术对社会发展的作用，同时也了解技术可能带来的多方面影响。</w:t>
      </w:r>
    </w:p>
    <w:p>
      <w:pPr>
        <w:pStyle w:val="ListParagraph"/>
        <w:numPr>
          <w:ilvl w:val="1"/>
          <w:numId w:val="15"/>
        </w:numPr>
        <w:tabs>
          <w:tab w:val="left" w:pos="1273"/>
          <w:tab w:val="left" w:pos="1275"/>
        </w:tabs>
        <w:spacing w:before="0" w:after="0" w:line="304" w:lineRule="exact"/>
        <w:ind w:left="1274" w:right="0" w:hanging="575"/>
        <w:jc w:val="left"/>
        <w:rPr>
          <w:sz w:val="24"/>
        </w:rPr>
      </w:pPr>
      <w:r>
        <w:rPr>
          <w:color w:val="231F20"/>
          <w:sz w:val="24"/>
        </w:rPr>
        <w:t>注意学科间的联系</w:t>
      </w:r>
    </w:p>
    <w:p>
      <w:pPr>
        <w:pStyle w:val="BodyText"/>
        <w:spacing w:before="97" w:line="328" w:lineRule="auto"/>
        <w:ind w:left="220" w:right="408" w:firstLine="480"/>
        <w:jc w:val="both"/>
      </w:pPr>
      <w:r>
        <w:rPr>
          <w:color w:val="231F20"/>
          <w:spacing w:val="-1"/>
        </w:rPr>
        <w:t>自然界是一个统一的整体，自然科学中的物理学、化学、生物学等各门学科，其思想方法、基本原理、研究内容有着密切的联系。同时，生物学和数学、技术、工程学、信息科学是相互渗透、共同发展的。此外，生物学与人文社会学科也是相互影响、相互促进的。加强</w:t>
      </w:r>
      <w:r>
        <w:rPr>
          <w:color w:val="231F20"/>
          <w:spacing w:val="-5"/>
        </w:rPr>
        <w:t>学科间的横向联系，有利于学生理解科学的本质、科学的思想方法和</w:t>
      </w:r>
      <w:r>
        <w:rPr>
          <w:color w:val="231F20"/>
          <w:spacing w:val="-10"/>
        </w:rPr>
        <w:t>跨学科的科学概念和过程，这将有利于学生建立科学的生命观，逐步形</w:t>
      </w:r>
      <w:r>
        <w:rPr>
          <w:color w:val="231F20"/>
          <w:spacing w:val="-12"/>
        </w:rPr>
        <w:t>成正确的世界观，发展生物学学科核心素养。</w:t>
      </w:r>
    </w:p>
    <w:p>
      <w:pPr>
        <w:pStyle w:val="ListParagraph"/>
        <w:numPr>
          <w:ilvl w:val="1"/>
          <w:numId w:val="15"/>
        </w:numPr>
        <w:tabs>
          <w:tab w:val="left" w:pos="1275"/>
        </w:tabs>
        <w:spacing w:before="0" w:after="0" w:line="300" w:lineRule="exact"/>
        <w:ind w:left="1274" w:right="0" w:hanging="575"/>
        <w:jc w:val="both"/>
        <w:rPr>
          <w:sz w:val="24"/>
        </w:rPr>
      </w:pPr>
      <w:r>
        <w:rPr>
          <w:color w:val="231F20"/>
          <w:sz w:val="24"/>
        </w:rPr>
        <w:t>注重生物科学史和科学本质的学习</w:t>
      </w:r>
    </w:p>
    <w:p>
      <w:pPr>
        <w:pStyle w:val="BodyText"/>
        <w:spacing w:before="111" w:line="328" w:lineRule="auto"/>
        <w:ind w:left="220" w:right="408" w:firstLine="480"/>
        <w:jc w:val="both"/>
      </w:pPr>
      <w:r>
        <w:rPr>
          <w:color w:val="231F20"/>
          <w:spacing w:val="-1"/>
        </w:rPr>
        <w:t>科学是一个发展的过程。学习生物科学史能使学生沿着科学家探索生物世界的道路，理解科学的本质和科学研究的思路和方法，学习科学家献身科学的精神，这对提高学生的生物学学科核心素养是很有</w:t>
      </w:r>
      <w:r>
        <w:rPr>
          <w:color w:val="231F20"/>
          <w:spacing w:val="-12"/>
        </w:rPr>
        <w:t>意义的。本课程标准中的多处内容都包含科学史的要素，教师应充分利</w:t>
      </w:r>
    </w:p>
    <w:p>
      <w:pPr>
        <w:spacing w:after="0" w:line="328" w:lineRule="auto"/>
        <w:jc w:val="both"/>
        <w:sectPr>
          <w:pgSz w:w="10780" w:h="15090"/>
          <w:pgMar w:top="1260" w:right="1460" w:bottom="1400" w:left="1480" w:header="1029" w:footer="1217"/>
          <w:cols w:space="708"/>
        </w:sectPr>
      </w:pPr>
    </w:p>
    <w:p>
      <w:pPr>
        <w:pStyle w:val="BodyText"/>
        <w:spacing w:before="10"/>
        <w:rPr>
          <w:sz w:val="29"/>
        </w:rPr>
      </w:pPr>
    </w:p>
    <w:p>
      <w:pPr>
        <w:pStyle w:val="BodyText"/>
        <w:spacing w:before="67"/>
        <w:ind w:left="390"/>
      </w:pPr>
      <w:r>
        <w:rPr>
          <w:color w:val="231F20"/>
        </w:rPr>
        <w:t>用这些科学史来开展教学。</w:t>
      </w:r>
    </w:p>
    <w:p>
      <w:pPr>
        <w:pStyle w:val="BodyText"/>
        <w:spacing w:before="113" w:line="328" w:lineRule="auto"/>
        <w:ind w:left="390" w:right="120" w:firstLine="480"/>
      </w:pPr>
      <w:r>
        <w:rPr>
          <w:color w:val="231F20"/>
        </w:rPr>
        <w:t>高中生物学课程是自然科学课程，学生在学习该课程中不仅要获得诸如细胞、遗传、进化等生物学方面的知识，还应该学习一些“关</w:t>
      </w:r>
      <w:r>
        <w:rPr>
          <w:color w:val="231F20"/>
          <w:spacing w:val="-9"/>
        </w:rPr>
        <w:t>于自然科学的知识”。在科学教育领域，“关于自然科学的知识”也</w:t>
      </w:r>
      <w:r>
        <w:rPr>
          <w:color w:val="231F20"/>
          <w:spacing w:val="-8"/>
        </w:rPr>
        <w:t>称为“科学本质”。高中生物学课程中适合教授的科学本质内容可以</w:t>
      </w:r>
      <w:r>
        <w:rPr>
          <w:color w:val="231F20"/>
          <w:spacing w:val="-5"/>
        </w:rPr>
        <w:t>涉及“科学知识可能随着研究的深入而改变”“科学工作依赖观察和</w:t>
      </w:r>
      <w:r>
        <w:rPr>
          <w:color w:val="231F20"/>
          <w:spacing w:val="-18"/>
        </w:rPr>
        <w:t>推论”“科学工作采用基于实证的范式”“科学是创造性的工作”“科</w:t>
      </w:r>
      <w:r>
        <w:rPr>
          <w:color w:val="231F20"/>
          <w:spacing w:val="-4"/>
        </w:rPr>
        <w:t>学工作中要高度关注主观因素的影响”“理论和定律赋予科学解释的</w:t>
      </w:r>
      <w:r>
        <w:rPr>
          <w:color w:val="231F20"/>
        </w:rPr>
        <w:t>能力，但两者不尽相同”以及“科学会受到社会和文化的影响”等。对科学本质的学习有助于学生建立生物学观念，了解科学知识产生的特点，把握自然科学的特点，并以此来辨别现实生活中的科学和非科学，从而促进生物学学科核心素养的达成。</w:t>
      </w:r>
    </w:p>
    <w:p>
      <w:pPr>
        <w:pStyle w:val="BodyText"/>
        <w:spacing w:before="7"/>
      </w:pPr>
    </w:p>
    <w:p>
      <w:pPr>
        <w:pStyle w:val="ListParagraph"/>
        <w:numPr>
          <w:ilvl w:val="0"/>
          <w:numId w:val="15"/>
        </w:numPr>
        <w:tabs>
          <w:tab w:val="left" w:pos="1192"/>
        </w:tabs>
        <w:spacing w:before="0" w:after="0" w:line="240" w:lineRule="auto"/>
        <w:ind w:left="1191" w:right="0" w:hanging="322"/>
        <w:jc w:val="both"/>
        <w:rPr>
          <w:sz w:val="24"/>
        </w:rPr>
      </w:pPr>
      <w:r>
        <w:rPr>
          <w:color w:val="231F20"/>
          <w:sz w:val="24"/>
        </w:rPr>
        <w:t>评价建议</w:t>
      </w:r>
    </w:p>
    <w:p>
      <w:pPr>
        <w:pStyle w:val="BodyText"/>
        <w:spacing w:before="198" w:line="328" w:lineRule="auto"/>
        <w:ind w:left="390" w:right="229" w:firstLine="480"/>
        <w:jc w:val="both"/>
      </w:pPr>
      <w:r>
        <w:rPr>
          <w:color w:val="231F20"/>
        </w:rPr>
        <w:t>评价是日常教学过程中不可或缺的重要环节，是教师了解教学过程、调控教和学的行为、提高教学质量的重要手段。评价以学生发展为本，以生物学课程内容、学业质量标准为依据，聚焦学科核心素养，促进教师的教和学生的学。</w:t>
      </w:r>
    </w:p>
    <w:p>
      <w:pPr>
        <w:pStyle w:val="ListParagraph"/>
        <w:numPr>
          <w:ilvl w:val="1"/>
          <w:numId w:val="15"/>
        </w:numPr>
        <w:tabs>
          <w:tab w:val="left" w:pos="1445"/>
        </w:tabs>
        <w:spacing w:before="0" w:after="0" w:line="304" w:lineRule="exact"/>
        <w:ind w:left="1444" w:right="0" w:hanging="575"/>
        <w:jc w:val="both"/>
        <w:rPr>
          <w:sz w:val="24"/>
        </w:rPr>
      </w:pPr>
      <w:r>
        <w:rPr>
          <w:color w:val="231F20"/>
          <w:sz w:val="24"/>
        </w:rPr>
        <w:t>评价原则</w:t>
      </w:r>
    </w:p>
    <w:p>
      <w:pPr>
        <w:pStyle w:val="BodyText"/>
        <w:spacing w:before="111" w:line="328" w:lineRule="auto"/>
        <w:ind w:left="390" w:right="120" w:firstLine="480"/>
      </w:pPr>
      <w:r>
        <w:rPr>
          <w:color w:val="231F20"/>
        </w:rPr>
        <w:t>评价应遵循立德树人的指导思想，重视学生爱国主义情操和社会责任感的形成；评价应关注学生对生物学大概念的理解和融会贯通； 评价应指向学生生物学学科核心素养的发展；评价应体现导向性和激励性；评价方式应具有多样性。使评价既促进学生核心素养水平的提升，又推动教师教学水平的提高，实现评价者和被评价者共同发展的目的。</w:t>
      </w:r>
    </w:p>
    <w:p>
      <w:pPr>
        <w:pStyle w:val="ListParagraph"/>
        <w:numPr>
          <w:ilvl w:val="1"/>
          <w:numId w:val="15"/>
        </w:numPr>
        <w:tabs>
          <w:tab w:val="left" w:pos="1444"/>
          <w:tab w:val="left" w:pos="1445"/>
        </w:tabs>
        <w:spacing w:before="0" w:after="0" w:line="301" w:lineRule="exact"/>
        <w:ind w:left="1444" w:right="0" w:hanging="575"/>
        <w:jc w:val="left"/>
        <w:rPr>
          <w:sz w:val="24"/>
        </w:rPr>
      </w:pPr>
      <w:r>
        <w:rPr>
          <w:color w:val="231F20"/>
          <w:sz w:val="24"/>
        </w:rPr>
        <w:t>评价内容</w:t>
      </w:r>
    </w:p>
    <w:p>
      <w:pPr>
        <w:pStyle w:val="BodyText"/>
        <w:spacing w:before="111" w:line="328" w:lineRule="auto"/>
        <w:ind w:left="390" w:right="238" w:firstLine="480"/>
      </w:pPr>
      <w:r>
        <w:rPr>
          <w:color w:val="231F20"/>
        </w:rPr>
        <w:t>评价内容应以课程目标、课程内容和学业质量标准为依据，结合具体的教学内容，以生物学大概念、重要概念等主干知识为依托，检</w:t>
      </w:r>
    </w:p>
    <w:p>
      <w:pPr>
        <w:spacing w:after="0" w:line="328" w:lineRule="auto"/>
        <w:sectPr>
          <w:pgSz w:w="10780" w:h="15090"/>
          <w:pgMar w:top="1260" w:right="1460" w:bottom="1400" w:left="1480" w:header="989" w:footer="1217"/>
          <w:cols w:space="708"/>
        </w:sectPr>
      </w:pPr>
    </w:p>
    <w:p>
      <w:pPr>
        <w:pStyle w:val="BodyText"/>
        <w:rPr>
          <w:sz w:val="20"/>
        </w:rPr>
      </w:pPr>
    </w:p>
    <w:p>
      <w:pPr>
        <w:pStyle w:val="BodyText"/>
        <w:spacing w:before="203"/>
        <w:ind w:left="220"/>
      </w:pPr>
      <w:r>
        <w:rPr>
          <w:color w:val="231F20"/>
        </w:rPr>
        <w:t>测学生生物学学科核心素养的发展水平。评价主要包括以下内容。</w:t>
      </w:r>
    </w:p>
    <w:p>
      <w:pPr>
        <w:pStyle w:val="ListParagraph"/>
        <w:numPr>
          <w:ilvl w:val="0"/>
          <w:numId w:val="11"/>
        </w:numPr>
        <w:tabs>
          <w:tab w:val="left" w:pos="1191"/>
        </w:tabs>
        <w:spacing w:before="112" w:after="0" w:line="328" w:lineRule="auto"/>
        <w:ind w:left="220" w:right="396" w:firstLine="360"/>
        <w:jc w:val="both"/>
        <w:rPr>
          <w:sz w:val="24"/>
        </w:rPr>
      </w:pPr>
      <w:r>
        <w:rPr>
          <w:color w:val="231F20"/>
          <w:spacing w:val="7"/>
          <w:sz w:val="24"/>
        </w:rPr>
        <w:t>学生的生命观念。学生是否逐步形成了认识生命的基本观</w:t>
      </w:r>
      <w:r>
        <w:rPr>
          <w:color w:val="231F20"/>
          <w:sz w:val="24"/>
        </w:rPr>
        <w:t>念，如生物体的结构与功能相适应、生物始终处于发展变化之中，生物对环境具有适应性等。学生能否运用这些生命观念，探索生命活动规律，解决实际问题。</w:t>
      </w:r>
    </w:p>
    <w:p>
      <w:pPr>
        <w:pStyle w:val="ListParagraph"/>
        <w:numPr>
          <w:ilvl w:val="0"/>
          <w:numId w:val="11"/>
        </w:numPr>
        <w:tabs>
          <w:tab w:val="left" w:pos="1182"/>
        </w:tabs>
        <w:spacing w:before="0" w:after="0" w:line="328" w:lineRule="auto"/>
        <w:ind w:left="220" w:right="408" w:firstLine="360"/>
        <w:jc w:val="both"/>
        <w:rPr>
          <w:sz w:val="24"/>
        </w:rPr>
      </w:pPr>
      <w:r>
        <w:rPr>
          <w:color w:val="231F20"/>
          <w:spacing w:val="-1"/>
          <w:sz w:val="24"/>
        </w:rPr>
        <w:t>学生科学思维的发展。学生是否逐步养成科学思维习惯，运用归纳与概括、演绎与推理、模型与建模、批判性思维、创造性思维</w:t>
      </w:r>
      <w:r>
        <w:rPr>
          <w:color w:val="231F20"/>
          <w:sz w:val="24"/>
        </w:rPr>
        <w:t>等方法，探讨、阐释生命现象及规律的能力。</w:t>
      </w:r>
    </w:p>
    <w:p>
      <w:pPr>
        <w:pStyle w:val="ListParagraph"/>
        <w:numPr>
          <w:ilvl w:val="0"/>
          <w:numId w:val="11"/>
        </w:numPr>
        <w:tabs>
          <w:tab w:val="left" w:pos="1182"/>
        </w:tabs>
        <w:spacing w:before="0" w:after="0" w:line="328" w:lineRule="auto"/>
        <w:ind w:left="220" w:right="408" w:firstLine="360"/>
        <w:jc w:val="left"/>
        <w:rPr>
          <w:sz w:val="24"/>
        </w:rPr>
      </w:pPr>
      <w:r>
        <w:rPr>
          <w:color w:val="231F20"/>
          <w:spacing w:val="-1"/>
          <w:sz w:val="24"/>
        </w:rPr>
        <w:t>学生科学探究的能力。学生是否具备了观察能力、发现问题</w:t>
      </w:r>
      <w:r>
        <w:rPr>
          <w:color w:val="231F20"/>
          <w:sz w:val="24"/>
        </w:rPr>
        <w:t>的能力、设计和实施探究方案以及探究结果的分析、交流等能力。</w:t>
      </w:r>
    </w:p>
    <w:p>
      <w:pPr>
        <w:pStyle w:val="ListParagraph"/>
        <w:numPr>
          <w:ilvl w:val="0"/>
          <w:numId w:val="11"/>
        </w:numPr>
        <w:tabs>
          <w:tab w:val="left" w:pos="1182"/>
        </w:tabs>
        <w:spacing w:before="0" w:after="0" w:line="328" w:lineRule="auto"/>
        <w:ind w:left="220" w:right="408" w:firstLine="360"/>
        <w:jc w:val="left"/>
        <w:rPr>
          <w:sz w:val="24"/>
        </w:rPr>
      </w:pPr>
      <w:r>
        <w:rPr>
          <w:color w:val="231F20"/>
          <w:spacing w:val="-1"/>
          <w:sz w:val="24"/>
        </w:rPr>
        <w:t>学生的社会责任意识。学生是否具有关注社会重要议题的意</w:t>
      </w:r>
      <w:r>
        <w:rPr>
          <w:color w:val="231F20"/>
          <w:sz w:val="24"/>
        </w:rPr>
        <w:t>识和社会责任感，以及开展生物学实践活动的意愿和能力等。</w:t>
      </w:r>
    </w:p>
    <w:p>
      <w:pPr>
        <w:pStyle w:val="ListParagraph"/>
        <w:numPr>
          <w:ilvl w:val="1"/>
          <w:numId w:val="15"/>
        </w:numPr>
        <w:tabs>
          <w:tab w:val="left" w:pos="1273"/>
          <w:tab w:val="left" w:pos="1275"/>
        </w:tabs>
        <w:spacing w:before="0" w:after="0" w:line="306" w:lineRule="exact"/>
        <w:ind w:left="1274" w:right="0" w:hanging="575"/>
        <w:jc w:val="left"/>
        <w:rPr>
          <w:sz w:val="24"/>
        </w:rPr>
      </w:pPr>
      <w:r>
        <w:rPr>
          <w:color w:val="231F20"/>
          <w:sz w:val="24"/>
        </w:rPr>
        <w:t>评价方式</w:t>
      </w:r>
    </w:p>
    <w:p>
      <w:pPr>
        <w:pStyle w:val="BodyText"/>
        <w:spacing w:before="100" w:line="328" w:lineRule="auto"/>
        <w:ind w:left="220" w:right="408" w:firstLine="480"/>
        <w:jc w:val="both"/>
      </w:pPr>
      <w:r>
        <w:rPr>
          <w:color w:val="231F20"/>
        </w:rPr>
        <w:t>评价应依据评价内容和对象的不同，采用多元评价方式。评价方式的选择，应该考虑评价目标、评价内容、评价对象和评价现场等实际情况，可采用学生自评和互评、小组评和教师评相结合的形式。</w:t>
      </w:r>
    </w:p>
    <w:p>
      <w:pPr>
        <w:pStyle w:val="BodyText"/>
        <w:spacing w:line="328" w:lineRule="auto"/>
        <w:ind w:left="220" w:right="288" w:firstLine="480"/>
      </w:pPr>
      <w:r>
        <w:rPr>
          <w:color w:val="231F20"/>
        </w:rPr>
        <w:t>评价方法应该多样。例如：学生成长记录，记录学生成长过程中的点点滴滴，将实验报告、实验设计、小论文、作业等收入记录袋中，作为衡量学习态度和能力的依据之一；课堂行为观察，关注学生在课堂上师生互动、自主学习、同伴合作中的行为表现、参与热情、情感体验和探究、思考的过程等；作业练习测验；实践与应用检测， 根据学生实际情况，利用课余时间，以小组为单位，自拟研究题目， 进行实践活动；阶段性纸笔检测，如单元和学期考试等。</w:t>
      </w:r>
    </w:p>
    <w:p>
      <w:pPr>
        <w:pStyle w:val="ListParagraph"/>
        <w:numPr>
          <w:ilvl w:val="1"/>
          <w:numId w:val="15"/>
        </w:numPr>
        <w:tabs>
          <w:tab w:val="left" w:pos="1273"/>
          <w:tab w:val="left" w:pos="1275"/>
        </w:tabs>
        <w:spacing w:before="0" w:after="0" w:line="300" w:lineRule="exact"/>
        <w:ind w:left="1274" w:right="0" w:hanging="575"/>
        <w:jc w:val="left"/>
        <w:rPr>
          <w:sz w:val="24"/>
        </w:rPr>
      </w:pPr>
      <w:r>
        <w:rPr>
          <w:color w:val="231F20"/>
          <w:sz w:val="24"/>
        </w:rPr>
        <w:t>结果反馈</w:t>
      </w:r>
    </w:p>
    <w:p>
      <w:pPr>
        <w:pStyle w:val="BodyText"/>
        <w:spacing w:before="107" w:line="328" w:lineRule="auto"/>
        <w:ind w:left="220" w:right="288" w:firstLine="480"/>
      </w:pPr>
      <w:r>
        <w:rPr>
          <w:color w:val="231F20"/>
        </w:rPr>
        <w:t>对评价结果的科学分析和及时反馈，有利于提高评价的时效性。教师要根据教学目的，参照相关标准，对评价结果作出合理的解释。可利用评语、谈话等形式对学生学习情况及时反馈。应注重发现和发展学生的潜能，激发学生学习的积极性和主动性，促进学生生物学学</w:t>
      </w:r>
    </w:p>
    <w:p>
      <w:pPr>
        <w:spacing w:after="0" w:line="328" w:lineRule="auto"/>
        <w:sectPr>
          <w:pgSz w:w="10780" w:h="15090"/>
          <w:pgMar w:top="1260" w:right="1460" w:bottom="1400" w:left="1480" w:header="1029" w:footer="1217"/>
          <w:cols w:space="708"/>
        </w:sectPr>
      </w:pPr>
    </w:p>
    <w:p>
      <w:pPr>
        <w:pStyle w:val="BodyText"/>
        <w:spacing w:before="10"/>
        <w:rPr>
          <w:sz w:val="29"/>
        </w:rPr>
      </w:pPr>
    </w:p>
    <w:p>
      <w:pPr>
        <w:pStyle w:val="BodyText"/>
        <w:spacing w:before="67"/>
        <w:ind w:left="390"/>
      </w:pPr>
      <w:r>
        <w:rPr>
          <w:color w:val="231F20"/>
        </w:rPr>
        <w:t>科核心素养的养成。</w:t>
      </w:r>
    </w:p>
    <w:p>
      <w:pPr>
        <w:pStyle w:val="BodyText"/>
        <w:rPr>
          <w:sz w:val="26"/>
        </w:rPr>
      </w:pPr>
    </w:p>
    <w:p>
      <w:pPr>
        <w:pStyle w:val="BodyText"/>
        <w:spacing w:before="12"/>
        <w:rPr>
          <w:sz w:val="36"/>
        </w:rPr>
      </w:pPr>
    </w:p>
    <w:p>
      <w:pPr>
        <w:pStyle w:val="Heading2"/>
      </w:pPr>
      <w:r>
        <w:rPr>
          <w:color w:val="231F20"/>
        </w:rPr>
        <w:t>（二）学业水平考试与命题建议</w:t>
      </w:r>
    </w:p>
    <w:p>
      <w:pPr>
        <w:pStyle w:val="BodyText"/>
        <w:spacing w:before="2"/>
        <w:rPr>
          <w:sz w:val="39"/>
        </w:rPr>
      </w:pPr>
    </w:p>
    <w:p>
      <w:pPr>
        <w:pStyle w:val="BodyText"/>
        <w:spacing w:line="328" w:lineRule="auto"/>
        <w:ind w:left="390" w:right="241" w:firstLine="480"/>
      </w:pPr>
      <w:r>
        <w:rPr>
          <w:color w:val="231F20"/>
        </w:rPr>
        <w:t>学业水平考试包括高中毕业的学业水平合格性考试和学业水平等级性考试，主要目的是评价学生学科核心素养的发展水平。</w:t>
      </w:r>
    </w:p>
    <w:p>
      <w:pPr>
        <w:pStyle w:val="BodyText"/>
        <w:rPr>
          <w:sz w:val="26"/>
        </w:rPr>
      </w:pPr>
    </w:p>
    <w:p>
      <w:pPr>
        <w:pStyle w:val="BodyText"/>
        <w:spacing w:before="3"/>
        <w:rPr>
          <w:sz w:val="32"/>
        </w:rPr>
      </w:pPr>
    </w:p>
    <w:p>
      <w:pPr>
        <w:pStyle w:val="ListParagraph"/>
        <w:numPr>
          <w:ilvl w:val="2"/>
          <w:numId w:val="15"/>
        </w:numPr>
        <w:tabs>
          <w:tab w:val="left" w:pos="1192"/>
        </w:tabs>
        <w:spacing w:before="0" w:after="0" w:line="240" w:lineRule="auto"/>
        <w:ind w:left="1191" w:right="0" w:hanging="322"/>
        <w:jc w:val="both"/>
        <w:rPr>
          <w:sz w:val="24"/>
        </w:rPr>
      </w:pPr>
      <w:r>
        <w:rPr>
          <w:color w:val="231F20"/>
          <w:sz w:val="24"/>
        </w:rPr>
        <w:t>学业水平合格性考试与学业水平等级性考试</w:t>
      </w:r>
    </w:p>
    <w:p>
      <w:pPr>
        <w:pStyle w:val="BodyText"/>
        <w:spacing w:before="198" w:line="328" w:lineRule="auto"/>
        <w:ind w:left="390" w:right="226" w:firstLine="480"/>
        <w:jc w:val="both"/>
      </w:pPr>
      <w:r>
        <w:rPr>
          <w:color w:val="231F20"/>
        </w:rPr>
        <w:t>高中毕业的学业水平合格性考试在于考查全体学生生物学学科核心素养的达成情况，其内容以必修课程要求为准，难度不超过学业质量二级水平的要求。高中毕业的学业水平合格性考试试题难度要低于学业水平等级性考试，让坚持正常学习的学生，一般都能达到高中毕业生应达到的合格水平要求。</w:t>
      </w:r>
    </w:p>
    <w:p>
      <w:pPr>
        <w:pStyle w:val="BodyText"/>
        <w:spacing w:line="328" w:lineRule="auto"/>
        <w:ind w:left="390" w:right="238" w:firstLine="480"/>
        <w:jc w:val="both"/>
      </w:pPr>
      <w:r>
        <w:rPr>
          <w:color w:val="231F20"/>
        </w:rPr>
        <w:t>学业水平等级性考试的内容范围以必修课程和选择性必修课程要求为准，难度不超过学业质量四级水平的要求；在强化基础的前提下，凸显学生的学科特长，体现甄别与选拔的功能。</w:t>
      </w:r>
    </w:p>
    <w:p>
      <w:pPr>
        <w:pStyle w:val="BodyText"/>
        <w:spacing w:before="11"/>
      </w:pPr>
    </w:p>
    <w:p>
      <w:pPr>
        <w:pStyle w:val="ListParagraph"/>
        <w:numPr>
          <w:ilvl w:val="2"/>
          <w:numId w:val="15"/>
        </w:numPr>
        <w:tabs>
          <w:tab w:val="left" w:pos="1192"/>
        </w:tabs>
        <w:spacing w:before="0" w:after="0" w:line="240" w:lineRule="auto"/>
        <w:ind w:left="1191" w:right="0" w:hanging="322"/>
        <w:jc w:val="both"/>
        <w:rPr>
          <w:sz w:val="24"/>
        </w:rPr>
      </w:pPr>
      <w:r>
        <w:rPr>
          <w:color w:val="231F20"/>
          <w:sz w:val="24"/>
        </w:rPr>
        <w:t>命题建议</w:t>
      </w:r>
    </w:p>
    <w:p>
      <w:pPr>
        <w:pStyle w:val="ListParagraph"/>
        <w:numPr>
          <w:ilvl w:val="3"/>
          <w:numId w:val="15"/>
        </w:numPr>
        <w:tabs>
          <w:tab w:val="left" w:pos="1444"/>
          <w:tab w:val="left" w:pos="1445"/>
        </w:tabs>
        <w:spacing w:before="199" w:after="0" w:line="240" w:lineRule="auto"/>
        <w:ind w:left="1444" w:right="0" w:hanging="575"/>
        <w:jc w:val="left"/>
        <w:rPr>
          <w:sz w:val="24"/>
        </w:rPr>
      </w:pPr>
      <w:r>
        <w:rPr>
          <w:color w:val="231F20"/>
          <w:sz w:val="24"/>
        </w:rPr>
        <w:t>命题原则</w:t>
      </w:r>
    </w:p>
    <w:p>
      <w:pPr>
        <w:pStyle w:val="BodyText"/>
        <w:spacing w:before="111" w:line="328" w:lineRule="auto"/>
        <w:ind w:left="390" w:right="238" w:firstLine="480"/>
      </w:pPr>
      <w:r>
        <w:rPr>
          <w:color w:val="231F20"/>
        </w:rPr>
        <w:t>命题应以课程标准中的内容要求、学业质量标准为依据，指向生物学学科核心素养的发展水平。</w:t>
      </w:r>
    </w:p>
    <w:p>
      <w:pPr>
        <w:pStyle w:val="BodyText"/>
        <w:spacing w:line="328" w:lineRule="auto"/>
        <w:ind w:left="390" w:right="238" w:firstLine="480"/>
      </w:pPr>
      <w:r>
        <w:rPr>
          <w:color w:val="231F20"/>
        </w:rPr>
        <w:t>试题素材应贴近学生生活实际，以真实问题情境组织命题，应注重考查学生综合运用所学的知识和技能解决问题的能力。</w:t>
      </w:r>
    </w:p>
    <w:p>
      <w:pPr>
        <w:pStyle w:val="BodyText"/>
        <w:spacing w:line="328" w:lineRule="auto"/>
        <w:ind w:left="390" w:right="238" w:firstLine="480"/>
      </w:pPr>
      <w:r>
        <w:rPr>
          <w:color w:val="231F20"/>
        </w:rPr>
        <w:t>试题的表述和指向要明确、清晰、直接，确保题目的公平性、科学性和规范性，要能够区分出不同素养水平的学生。</w:t>
      </w:r>
    </w:p>
    <w:p>
      <w:pPr>
        <w:spacing w:after="0" w:line="328" w:lineRule="auto"/>
        <w:sectPr>
          <w:pgSz w:w="10780" w:h="15090"/>
          <w:pgMar w:top="1260" w:right="1460" w:bottom="1400" w:left="1480" w:header="989" w:footer="1217"/>
          <w:cols w:space="708"/>
        </w:sectPr>
      </w:pPr>
    </w:p>
    <w:p>
      <w:pPr>
        <w:pStyle w:val="BodyText"/>
        <w:rPr>
          <w:sz w:val="20"/>
        </w:rPr>
      </w:pPr>
    </w:p>
    <w:p>
      <w:pPr>
        <w:pStyle w:val="ListParagraph"/>
        <w:numPr>
          <w:ilvl w:val="3"/>
          <w:numId w:val="15"/>
        </w:numPr>
        <w:tabs>
          <w:tab w:val="left" w:pos="1275"/>
        </w:tabs>
        <w:spacing w:before="204" w:after="0" w:line="240" w:lineRule="auto"/>
        <w:ind w:left="1274" w:right="0" w:hanging="575"/>
        <w:jc w:val="both"/>
        <w:rPr>
          <w:sz w:val="24"/>
        </w:rPr>
      </w:pPr>
      <w:r>
        <w:rPr>
          <w:color w:val="231F20"/>
          <w:sz w:val="24"/>
        </w:rPr>
        <w:t>命题程序</w:t>
      </w:r>
    </w:p>
    <w:p>
      <w:pPr>
        <w:pStyle w:val="ListParagraph"/>
        <w:numPr>
          <w:ilvl w:val="0"/>
          <w:numId w:val="10"/>
        </w:numPr>
        <w:tabs>
          <w:tab w:val="left" w:pos="1182"/>
        </w:tabs>
        <w:spacing w:before="111" w:after="0" w:line="328" w:lineRule="auto"/>
        <w:ind w:left="220" w:right="408" w:firstLine="360"/>
        <w:jc w:val="both"/>
        <w:rPr>
          <w:sz w:val="24"/>
        </w:rPr>
      </w:pPr>
      <w:r>
        <w:rPr>
          <w:color w:val="231F20"/>
          <w:spacing w:val="-1"/>
          <w:sz w:val="24"/>
        </w:rPr>
        <w:t>明确测试类别、确定难度。依据高中毕业的学业水平合格性考试与学业水平等级性考试的性质，基于相应的学业质量水平，结合</w:t>
      </w:r>
      <w:r>
        <w:rPr>
          <w:color w:val="231F20"/>
          <w:sz w:val="24"/>
        </w:rPr>
        <w:t>本地区的实际情况，确定恰当的题目难度。</w:t>
      </w:r>
    </w:p>
    <w:p>
      <w:pPr>
        <w:pStyle w:val="ListParagraph"/>
        <w:numPr>
          <w:ilvl w:val="0"/>
          <w:numId w:val="10"/>
        </w:numPr>
        <w:tabs>
          <w:tab w:val="left" w:pos="1184"/>
        </w:tabs>
        <w:spacing w:before="0" w:after="0" w:line="328" w:lineRule="auto"/>
        <w:ind w:left="220" w:right="312" w:firstLine="360"/>
        <w:jc w:val="left"/>
        <w:rPr>
          <w:sz w:val="24"/>
        </w:rPr>
      </w:pPr>
      <w:r>
        <w:rPr>
          <w:color w:val="231F20"/>
          <w:spacing w:val="-12"/>
          <w:sz w:val="24"/>
        </w:rPr>
        <w:t>规划核心素养的测试蓝图。将四项生物学学科核心素养、素养</w:t>
      </w:r>
      <w:r>
        <w:rPr>
          <w:color w:val="231F20"/>
          <w:spacing w:val="-13"/>
          <w:sz w:val="24"/>
        </w:rPr>
        <w:t>的水平表现、所涉及的知识和方法对应起来，确定测试蓝图，指导命题。</w:t>
      </w:r>
    </w:p>
    <w:p>
      <w:pPr>
        <w:pStyle w:val="ListParagraph"/>
        <w:numPr>
          <w:ilvl w:val="0"/>
          <w:numId w:val="10"/>
        </w:numPr>
        <w:tabs>
          <w:tab w:val="left" w:pos="1182"/>
        </w:tabs>
        <w:spacing w:before="0" w:after="0" w:line="328" w:lineRule="auto"/>
        <w:ind w:left="220" w:right="408" w:firstLine="360"/>
        <w:jc w:val="both"/>
        <w:rPr>
          <w:sz w:val="24"/>
        </w:rPr>
      </w:pPr>
      <w:r>
        <w:rPr>
          <w:color w:val="231F20"/>
          <w:sz w:val="24"/>
        </w:rPr>
        <w:t>创设真实情境、合理设问。试题情境应围绕现实问题（</w:t>
      </w:r>
      <w:r>
        <w:rPr>
          <w:color w:val="231F20"/>
          <w:spacing w:val="-9"/>
          <w:sz w:val="24"/>
        </w:rPr>
        <w:t>包括</w:t>
      </w:r>
      <w:r>
        <w:rPr>
          <w:color w:val="231F20"/>
          <w:sz w:val="24"/>
        </w:rPr>
        <w:t>热点问题）</w:t>
      </w:r>
      <w:r>
        <w:rPr>
          <w:color w:val="231F20"/>
          <w:spacing w:val="-1"/>
          <w:sz w:val="24"/>
        </w:rPr>
        <w:t>展开，尽量做到新颖、真实、科学、恰当，有一定的信息量和适当的复杂度，能够成为学生运用学科知识分析和解决实际问题的载体。基于试题情境的设问要有清晰的层次和严谨的逻辑，指向核</w:t>
      </w:r>
      <w:r>
        <w:rPr>
          <w:color w:val="231F20"/>
          <w:sz w:val="24"/>
        </w:rPr>
        <w:t>心素养的不同水平。</w:t>
      </w:r>
    </w:p>
    <w:p>
      <w:pPr>
        <w:pStyle w:val="ListParagraph"/>
        <w:numPr>
          <w:ilvl w:val="0"/>
          <w:numId w:val="10"/>
        </w:numPr>
        <w:tabs>
          <w:tab w:val="left" w:pos="1182"/>
        </w:tabs>
        <w:spacing w:before="0" w:after="0" w:line="328" w:lineRule="auto"/>
        <w:ind w:left="220" w:right="408" w:firstLine="360"/>
        <w:jc w:val="left"/>
        <w:rPr>
          <w:sz w:val="24"/>
        </w:rPr>
      </w:pPr>
      <w:r>
        <w:rPr>
          <w:color w:val="231F20"/>
          <w:spacing w:val="-1"/>
          <w:sz w:val="24"/>
        </w:rPr>
        <w:t>审核修改定题。依据课程目标、考试类别和测试蓝图，反复</w:t>
      </w:r>
      <w:r>
        <w:rPr>
          <w:color w:val="231F20"/>
          <w:sz w:val="24"/>
        </w:rPr>
        <w:t>打磨和修改试题，确保和提升题目质量。</w:t>
      </w:r>
    </w:p>
    <w:p>
      <w:pPr>
        <w:pStyle w:val="BodyText"/>
        <w:rPr>
          <w:sz w:val="26"/>
        </w:rPr>
      </w:pPr>
    </w:p>
    <w:p>
      <w:pPr>
        <w:pStyle w:val="BodyText"/>
        <w:spacing w:before="12"/>
        <w:rPr>
          <w:sz w:val="26"/>
        </w:rPr>
      </w:pPr>
    </w:p>
    <w:p>
      <w:pPr>
        <w:pStyle w:val="Heading2"/>
        <w:ind w:left="540"/>
      </w:pPr>
      <w:r>
        <w:rPr>
          <w:color w:val="231F20"/>
        </w:rPr>
        <w:t>（三）教材编写建议</w:t>
      </w:r>
    </w:p>
    <w:p>
      <w:pPr>
        <w:pStyle w:val="BodyText"/>
        <w:rPr>
          <w:sz w:val="37"/>
        </w:rPr>
      </w:pPr>
    </w:p>
    <w:p>
      <w:pPr>
        <w:pStyle w:val="ListParagraph"/>
        <w:numPr>
          <w:ilvl w:val="1"/>
          <w:numId w:val="10"/>
        </w:numPr>
        <w:tabs>
          <w:tab w:val="left" w:pos="1021"/>
        </w:tabs>
        <w:spacing w:before="0" w:after="0" w:line="240" w:lineRule="auto"/>
        <w:ind w:left="1020" w:right="0" w:hanging="321"/>
        <w:jc w:val="both"/>
        <w:rPr>
          <w:sz w:val="24"/>
        </w:rPr>
      </w:pPr>
      <w:r>
        <w:rPr>
          <w:color w:val="231F20"/>
          <w:sz w:val="24"/>
        </w:rPr>
        <w:t>教材编写的基本原则</w:t>
      </w:r>
    </w:p>
    <w:p>
      <w:pPr>
        <w:pStyle w:val="ListParagraph"/>
        <w:numPr>
          <w:ilvl w:val="0"/>
          <w:numId w:val="9"/>
        </w:numPr>
        <w:tabs>
          <w:tab w:val="left" w:pos="1182"/>
        </w:tabs>
        <w:spacing w:before="197" w:after="0" w:line="328" w:lineRule="auto"/>
        <w:ind w:left="220" w:right="408" w:firstLine="360"/>
        <w:jc w:val="both"/>
        <w:rPr>
          <w:sz w:val="24"/>
        </w:rPr>
      </w:pPr>
      <w:r>
        <w:rPr>
          <w:color w:val="231F20"/>
          <w:spacing w:val="-1"/>
          <w:sz w:val="24"/>
        </w:rPr>
        <w:t>教材编写是在课程标准基础上的一次再创造，必须充分体现课程标准的基本思想，准确把握课程标准的内容要求。教材应成为落</w:t>
      </w:r>
      <w:r>
        <w:rPr>
          <w:color w:val="231F20"/>
          <w:sz w:val="24"/>
        </w:rPr>
        <w:t>实课程目标的基本教学资源。</w:t>
      </w:r>
    </w:p>
    <w:p>
      <w:pPr>
        <w:pStyle w:val="ListParagraph"/>
        <w:numPr>
          <w:ilvl w:val="0"/>
          <w:numId w:val="9"/>
        </w:numPr>
        <w:tabs>
          <w:tab w:val="left" w:pos="1182"/>
        </w:tabs>
        <w:spacing w:before="0" w:after="0" w:line="328" w:lineRule="auto"/>
        <w:ind w:left="220" w:right="408" w:firstLine="360"/>
        <w:jc w:val="both"/>
        <w:rPr>
          <w:sz w:val="24"/>
        </w:rPr>
      </w:pPr>
      <w:r>
        <w:rPr>
          <w:color w:val="231F20"/>
          <w:spacing w:val="-1"/>
          <w:sz w:val="24"/>
        </w:rPr>
        <w:t>在内容选择、编排形式、活动设计等方面，应突出学生生物学学科核心素养的培养，反映生物学发展的特点和趋势，关注学生的</w:t>
      </w:r>
      <w:r>
        <w:rPr>
          <w:color w:val="231F20"/>
          <w:sz w:val="24"/>
        </w:rPr>
        <w:t>生活经验，体现科学、技术和社会的相互影响。</w:t>
      </w:r>
    </w:p>
    <w:p>
      <w:pPr>
        <w:pStyle w:val="ListParagraph"/>
        <w:numPr>
          <w:ilvl w:val="0"/>
          <w:numId w:val="9"/>
        </w:numPr>
        <w:tabs>
          <w:tab w:val="left" w:pos="1182"/>
        </w:tabs>
        <w:spacing w:before="0" w:after="0" w:line="328" w:lineRule="auto"/>
        <w:ind w:left="220" w:right="287" w:firstLine="360"/>
        <w:jc w:val="left"/>
        <w:rPr>
          <w:sz w:val="24"/>
        </w:rPr>
      </w:pPr>
      <w:r>
        <w:rPr>
          <w:color w:val="231F20"/>
          <w:sz w:val="24"/>
        </w:rPr>
        <w:t>应体现科学性、思想性和艺术性的统一。教材内容应系统规范，严谨准确；有利于学生建立科学的自然观，养成科学态度和科学</w:t>
      </w:r>
      <w:r>
        <w:rPr>
          <w:color w:val="231F20"/>
          <w:spacing w:val="-1"/>
          <w:sz w:val="24"/>
        </w:rPr>
        <w:t xml:space="preserve">精神，发展创新精神和实践能力；文字表述准确、生动，可读性强； </w:t>
      </w:r>
      <w:r>
        <w:rPr>
          <w:color w:val="231F20"/>
          <w:sz w:val="24"/>
        </w:rPr>
        <w:t>图文并茂，清晰美观，装帧精良。</w:t>
      </w:r>
    </w:p>
    <w:p>
      <w:pPr>
        <w:spacing w:after="0" w:line="328" w:lineRule="auto"/>
        <w:jc w:val="left"/>
        <w:rPr>
          <w:sz w:val="24"/>
        </w:rPr>
        <w:sectPr>
          <w:pgSz w:w="10780" w:h="15090"/>
          <w:pgMar w:top="1260" w:right="1460" w:bottom="1400" w:left="1480" w:header="1029" w:footer="1217"/>
          <w:cols w:space="708"/>
        </w:sectPr>
      </w:pPr>
    </w:p>
    <w:p>
      <w:pPr>
        <w:pStyle w:val="BodyText"/>
        <w:spacing w:before="2"/>
        <w:rPr>
          <w:sz w:val="29"/>
        </w:rPr>
      </w:pPr>
    </w:p>
    <w:p>
      <w:pPr>
        <w:pStyle w:val="ListParagraph"/>
        <w:numPr>
          <w:ilvl w:val="0"/>
          <w:numId w:val="9"/>
        </w:numPr>
        <w:tabs>
          <w:tab w:val="left" w:pos="1352"/>
        </w:tabs>
        <w:spacing w:before="75" w:after="0" w:line="328" w:lineRule="auto"/>
        <w:ind w:left="390" w:right="238" w:firstLine="360"/>
        <w:jc w:val="both"/>
        <w:rPr>
          <w:sz w:val="24"/>
        </w:rPr>
      </w:pPr>
      <w:r>
        <w:rPr>
          <w:color w:val="231F20"/>
          <w:spacing w:val="-1"/>
          <w:sz w:val="24"/>
        </w:rPr>
        <w:t>应符合高中学生的心理特征和认知水平，能够激发学生的求</w:t>
      </w:r>
      <w:r>
        <w:rPr>
          <w:color w:val="231F20"/>
          <w:spacing w:val="4"/>
          <w:sz w:val="24"/>
        </w:rPr>
        <w:t>知欲，体现学习方式的多样化，有利于学生自主学习和主动建构知</w:t>
      </w:r>
      <w:r>
        <w:rPr>
          <w:color w:val="231F20"/>
          <w:spacing w:val="-1"/>
          <w:sz w:val="24"/>
        </w:rPr>
        <w:t>识。能够与初中教材有效衔接，没有内容和思维上的明显脱节或不必要的重复。容量和难度合理，课时安排有一定的弹性，在达成教学目</w:t>
      </w:r>
      <w:r>
        <w:rPr>
          <w:color w:val="231F20"/>
          <w:sz w:val="24"/>
        </w:rPr>
        <w:t>标的基础上，努力减轻学生课业负担。</w:t>
      </w:r>
    </w:p>
    <w:p>
      <w:pPr>
        <w:pStyle w:val="BodyText"/>
        <w:spacing w:before="2"/>
        <w:rPr>
          <w:sz w:val="25"/>
        </w:rPr>
      </w:pPr>
    </w:p>
    <w:p>
      <w:pPr>
        <w:pStyle w:val="ListParagraph"/>
        <w:numPr>
          <w:ilvl w:val="1"/>
          <w:numId w:val="10"/>
        </w:numPr>
        <w:tabs>
          <w:tab w:val="left" w:pos="1192"/>
        </w:tabs>
        <w:spacing w:before="1" w:after="0" w:line="240" w:lineRule="auto"/>
        <w:ind w:left="1191" w:right="0" w:hanging="322"/>
        <w:jc w:val="left"/>
        <w:rPr>
          <w:sz w:val="24"/>
        </w:rPr>
      </w:pPr>
      <w:r>
        <w:rPr>
          <w:color w:val="231F20"/>
          <w:sz w:val="24"/>
        </w:rPr>
        <w:t>教材内容的选择</w:t>
      </w:r>
    </w:p>
    <w:p>
      <w:pPr>
        <w:pStyle w:val="ListParagraph"/>
        <w:numPr>
          <w:ilvl w:val="0"/>
          <w:numId w:val="8"/>
        </w:numPr>
        <w:tabs>
          <w:tab w:val="left" w:pos="1352"/>
        </w:tabs>
        <w:spacing w:before="197" w:after="0" w:line="328" w:lineRule="auto"/>
        <w:ind w:left="390" w:right="120" w:firstLine="360"/>
        <w:jc w:val="left"/>
        <w:rPr>
          <w:sz w:val="24"/>
        </w:rPr>
      </w:pPr>
      <w:r>
        <w:rPr>
          <w:color w:val="231F20"/>
          <w:sz w:val="24"/>
        </w:rPr>
        <w:t>以有利于学生生物学学科核心素养的发展作为选取内容的出发点。高中生物学教育，不仅是让学生掌握基础的生物学知识，而且</w:t>
      </w:r>
      <w:r>
        <w:rPr>
          <w:color w:val="231F20"/>
          <w:spacing w:val="1"/>
          <w:sz w:val="24"/>
        </w:rPr>
        <w:t>更应培养学生的生物学学科核心素养，为学生的终身发展奠定基础。因此，内容的选取除了考虑知识的系统性和完整性，还应以核心概念和原理为中心，重点选取对学生生物学学科核心素养形成有利、在学生的终身发展中具有长效性和迁移性的内容。</w:t>
      </w:r>
    </w:p>
    <w:p>
      <w:pPr>
        <w:pStyle w:val="ListParagraph"/>
        <w:numPr>
          <w:ilvl w:val="0"/>
          <w:numId w:val="8"/>
        </w:numPr>
        <w:tabs>
          <w:tab w:val="left" w:pos="1352"/>
        </w:tabs>
        <w:spacing w:before="0" w:after="0" w:line="328" w:lineRule="auto"/>
        <w:ind w:left="390" w:right="238" w:firstLine="360"/>
        <w:jc w:val="both"/>
        <w:rPr>
          <w:sz w:val="24"/>
        </w:rPr>
      </w:pPr>
      <w:r>
        <w:rPr>
          <w:color w:val="231F20"/>
          <w:spacing w:val="-1"/>
          <w:sz w:val="24"/>
        </w:rPr>
        <w:t>应符合学生的知识基础、心理特点和认识规律。高中学生已经具备一定的生物学知识，从媒体和日常生活中也积累了不少与生物学有关的信息或经验。但是，这些知识是浅显、零散的，生活经验也多是感性的；从思维特点来看，学生的形象思维比较发达，而辩证逻辑思维能力不强。因此，教材内容的选择要充分考虑学生已有的知识和经验，注意与初中生物学课程，以及其他学科相关课程的衔接，并且针对高中学生的思维特点、兴趣指向和接受能力，引导他们学会辩</w:t>
      </w:r>
      <w:r>
        <w:rPr>
          <w:color w:val="231F20"/>
          <w:sz w:val="24"/>
        </w:rPr>
        <w:t>证地看问题。</w:t>
      </w:r>
    </w:p>
    <w:p>
      <w:pPr>
        <w:pStyle w:val="ListParagraph"/>
        <w:numPr>
          <w:ilvl w:val="0"/>
          <w:numId w:val="8"/>
        </w:numPr>
        <w:tabs>
          <w:tab w:val="left" w:pos="1357"/>
        </w:tabs>
        <w:spacing w:before="0" w:after="0" w:line="328" w:lineRule="auto"/>
        <w:ind w:left="390" w:right="117" w:firstLine="360"/>
        <w:jc w:val="left"/>
        <w:rPr>
          <w:sz w:val="24"/>
        </w:rPr>
      </w:pPr>
      <w:r>
        <w:rPr>
          <w:color w:val="231F20"/>
          <w:sz w:val="24"/>
        </w:rPr>
        <w:t>要反映社会、经济和科技发展的需要，体现“科学、技术、社会”的思想。生物科学技术的迅猛发展对社会和经济的发展日益显现巨大的推动作用，也影响到社会和个人生活的方方面面；当代社会</w:t>
      </w:r>
      <w:r>
        <w:rPr>
          <w:color w:val="231F20"/>
          <w:spacing w:val="7"/>
          <w:sz w:val="24"/>
        </w:rPr>
        <w:t>发展的许多重大问题的解决，又都依赖于生物科学技术的进一步发</w:t>
      </w:r>
      <w:r>
        <w:rPr>
          <w:color w:val="231F20"/>
          <w:sz w:val="24"/>
        </w:rPr>
        <w:t>展。教材编写应当融生物科学、技术和社会为一体，充分体现三者的互动，反映生物科学技术的进步及其对社会发展和个人生活的影响， 贯穿人与自然是生命共同体，人类必须尊重自然、顺应自然、保护自</w:t>
      </w:r>
    </w:p>
    <w:p>
      <w:pPr>
        <w:spacing w:after="0" w:line="328" w:lineRule="auto"/>
        <w:jc w:val="left"/>
        <w:rPr>
          <w:sz w:val="24"/>
        </w:rPr>
        <w:sectPr>
          <w:pgSz w:w="10780" w:h="15090"/>
          <w:pgMar w:top="1260" w:right="1460" w:bottom="1400" w:left="1480" w:header="989" w:footer="1217"/>
          <w:cols w:space="708"/>
        </w:sectPr>
      </w:pPr>
    </w:p>
    <w:p>
      <w:pPr>
        <w:pStyle w:val="BodyText"/>
        <w:rPr>
          <w:sz w:val="20"/>
        </w:rPr>
      </w:pPr>
    </w:p>
    <w:p>
      <w:pPr>
        <w:pStyle w:val="BodyText"/>
        <w:spacing w:before="203"/>
        <w:ind w:left="220"/>
      </w:pPr>
      <w:r>
        <w:rPr>
          <w:color w:val="231F20"/>
        </w:rPr>
        <w:t>然的思想，此外也应注意介绍我国生物科学技术的成就和发展。</w:t>
      </w:r>
    </w:p>
    <w:p>
      <w:pPr>
        <w:pStyle w:val="ListParagraph"/>
        <w:numPr>
          <w:ilvl w:val="0"/>
          <w:numId w:val="8"/>
        </w:numPr>
        <w:tabs>
          <w:tab w:val="left" w:pos="1182"/>
        </w:tabs>
        <w:spacing w:before="112" w:after="0" w:line="328" w:lineRule="auto"/>
        <w:ind w:left="220" w:right="408" w:firstLine="360"/>
        <w:jc w:val="both"/>
        <w:rPr>
          <w:sz w:val="24"/>
        </w:rPr>
      </w:pPr>
      <w:r>
        <w:rPr>
          <w:color w:val="231F20"/>
          <w:spacing w:val="-1"/>
          <w:sz w:val="24"/>
        </w:rPr>
        <w:t>适当引入生物科学史内容。生物科学史蕴含着丰富的科学思想、科学方法、科学世界观、科学精神和科学态度等内容，具有很高的教育价值。尤其是生物科学史中的许多经典实验，是培养学生科学</w:t>
      </w:r>
      <w:r>
        <w:rPr>
          <w:color w:val="231F20"/>
          <w:sz w:val="24"/>
        </w:rPr>
        <w:t>素养的最好范例，教科书编写应利用好这些资源。</w:t>
      </w:r>
    </w:p>
    <w:p>
      <w:pPr>
        <w:pStyle w:val="ListParagraph"/>
        <w:numPr>
          <w:ilvl w:val="0"/>
          <w:numId w:val="8"/>
        </w:numPr>
        <w:tabs>
          <w:tab w:val="left" w:pos="1182"/>
        </w:tabs>
        <w:spacing w:before="0" w:after="0" w:line="328" w:lineRule="auto"/>
        <w:ind w:left="220" w:right="408" w:firstLine="360"/>
        <w:jc w:val="both"/>
        <w:rPr>
          <w:sz w:val="24"/>
        </w:rPr>
      </w:pPr>
      <w:r>
        <w:rPr>
          <w:color w:val="231F20"/>
          <w:spacing w:val="-1"/>
          <w:sz w:val="24"/>
        </w:rPr>
        <w:t>重视科学探究活动的设计。科学探究活动对于培养学生创新思维和实践能力具有不可替代的作用，教材编写应着力研究、精心设计，使探究活动真正起到激发思维、培养能力的作用。科学探究活动的设计和安排应当以探究能力的培养为重要线索，应当在设计教材知识体系的同时，设计较完整的探究能力体系，将两者进行整合，使之形成有机的整体。就某一具体教学内容来说，究竟设计为哪一种类型</w:t>
      </w:r>
      <w:r>
        <w:rPr>
          <w:color w:val="231F20"/>
          <w:sz w:val="24"/>
        </w:rPr>
        <w:t>的活动，要视内容特点、学生基础和学校条件而定。</w:t>
      </w:r>
    </w:p>
    <w:p>
      <w:pPr>
        <w:pStyle w:val="ListParagraph"/>
        <w:numPr>
          <w:ilvl w:val="0"/>
          <w:numId w:val="8"/>
        </w:numPr>
        <w:tabs>
          <w:tab w:val="left" w:pos="1182"/>
        </w:tabs>
        <w:spacing w:before="0" w:after="0" w:line="328" w:lineRule="auto"/>
        <w:ind w:left="220" w:right="408" w:firstLine="360"/>
        <w:jc w:val="both"/>
        <w:rPr>
          <w:sz w:val="24"/>
        </w:rPr>
      </w:pPr>
      <w:r>
        <w:rPr>
          <w:color w:val="231F20"/>
          <w:spacing w:val="-1"/>
          <w:sz w:val="24"/>
        </w:rPr>
        <w:t>应具有一定的弹性和灵活性。在按照课程标准编写必学内容的基础上，可以适当安排一些选学内容或选做的活动，以拓宽学生的视野，发展学生的爱好和特长，培养学生的创新精神和实践能力。例如，在教材中编入一些小资料和课外阅读材料，设计一些选做实验和</w:t>
      </w:r>
      <w:r>
        <w:rPr>
          <w:color w:val="231F20"/>
          <w:sz w:val="24"/>
        </w:rPr>
        <w:t>实践活动等。</w:t>
      </w:r>
    </w:p>
    <w:p>
      <w:pPr>
        <w:pStyle w:val="BodyText"/>
        <w:spacing w:before="1"/>
      </w:pPr>
    </w:p>
    <w:p>
      <w:pPr>
        <w:pStyle w:val="ListParagraph"/>
        <w:numPr>
          <w:ilvl w:val="1"/>
          <w:numId w:val="10"/>
        </w:numPr>
        <w:tabs>
          <w:tab w:val="left" w:pos="1021"/>
        </w:tabs>
        <w:spacing w:before="0" w:after="0" w:line="240" w:lineRule="auto"/>
        <w:ind w:left="1020" w:right="0" w:hanging="321"/>
        <w:jc w:val="both"/>
        <w:rPr>
          <w:sz w:val="24"/>
        </w:rPr>
      </w:pPr>
      <w:r>
        <w:rPr>
          <w:color w:val="231F20"/>
          <w:sz w:val="24"/>
        </w:rPr>
        <w:t>教材内容的组织和呈现方式</w:t>
      </w:r>
    </w:p>
    <w:p>
      <w:pPr>
        <w:pStyle w:val="ListParagraph"/>
        <w:numPr>
          <w:ilvl w:val="0"/>
          <w:numId w:val="7"/>
        </w:numPr>
        <w:tabs>
          <w:tab w:val="left" w:pos="1182"/>
        </w:tabs>
        <w:spacing w:before="198" w:after="0" w:line="328" w:lineRule="auto"/>
        <w:ind w:left="220" w:right="390" w:firstLine="360"/>
        <w:jc w:val="both"/>
        <w:rPr>
          <w:sz w:val="24"/>
        </w:rPr>
      </w:pPr>
      <w:r>
        <w:rPr>
          <w:color w:val="231F20"/>
          <w:sz w:val="24"/>
        </w:rPr>
        <w:t>教材内容的组织应当实现学科内在逻辑与学生认识逻辑的统一。学科逻辑与学生的认识逻辑是不尽一致的。例如，结构是功能的</w:t>
      </w:r>
      <w:r>
        <w:rPr>
          <w:color w:val="231F20"/>
          <w:spacing w:val="4"/>
          <w:sz w:val="24"/>
        </w:rPr>
        <w:t>基础，这属于学科的内在逻辑，如果按照先结构后功能的顺序组织教学内容，学生固然能够接受，但是，不一定能够引起学生的学习</w:t>
      </w:r>
      <w:r>
        <w:rPr>
          <w:color w:val="231F20"/>
          <w:spacing w:val="13"/>
          <w:sz w:val="24"/>
        </w:rPr>
        <w:t>兴趣。从功能出发，提出与结构有关的问题，再引导学生探究结</w:t>
      </w:r>
      <w:r>
        <w:rPr>
          <w:color w:val="231F20"/>
          <w:spacing w:val="12"/>
          <w:sz w:val="24"/>
        </w:rPr>
        <w:t>构与功能的关系，学生的兴趣就会增加。</w:t>
      </w:r>
    </w:p>
    <w:p>
      <w:pPr>
        <w:pStyle w:val="BodyText"/>
        <w:spacing w:line="328" w:lineRule="auto"/>
        <w:ind w:left="220" w:right="408" w:firstLine="480"/>
        <w:jc w:val="both"/>
      </w:pPr>
      <w:r>
        <w:rPr>
          <w:color w:val="231F20"/>
        </w:rPr>
        <w:t>在遵循课程内容要求的基础上，教材的逻辑结构可以打破课程标准编排的次序，重新组织。但教材自身的逻辑结构，必须考虑知识的内在联系和学生的认知规律，同时要兼顾不同模块之间，以及与其他</w:t>
      </w:r>
    </w:p>
    <w:p>
      <w:pPr>
        <w:spacing w:after="0" w:line="328" w:lineRule="auto"/>
        <w:jc w:val="both"/>
        <w:sectPr>
          <w:pgSz w:w="10780" w:h="15090"/>
          <w:pgMar w:top="1260" w:right="1460" w:bottom="1400" w:left="1480" w:header="1029" w:footer="1217"/>
          <w:cols w:space="708"/>
        </w:sectPr>
      </w:pPr>
    </w:p>
    <w:p>
      <w:pPr>
        <w:pStyle w:val="BodyText"/>
        <w:spacing w:before="10"/>
        <w:rPr>
          <w:sz w:val="29"/>
        </w:rPr>
      </w:pPr>
    </w:p>
    <w:p>
      <w:pPr>
        <w:pStyle w:val="BodyText"/>
        <w:spacing w:before="67" w:line="328" w:lineRule="auto"/>
        <w:ind w:left="390" w:right="241"/>
      </w:pPr>
      <w:r>
        <w:rPr>
          <w:color w:val="231F20"/>
        </w:rPr>
        <w:t>学科之间的联系。每个课时的容量必须相对均衡。单元与章节的划分，既要考虑内容的相对独立性，也要考虑彼此之间的相互衔接。</w:t>
      </w:r>
    </w:p>
    <w:p>
      <w:pPr>
        <w:pStyle w:val="ListParagraph"/>
        <w:numPr>
          <w:ilvl w:val="1"/>
          <w:numId w:val="7"/>
        </w:numPr>
        <w:tabs>
          <w:tab w:val="left" w:pos="1352"/>
        </w:tabs>
        <w:spacing w:before="0" w:after="0" w:line="328" w:lineRule="auto"/>
        <w:ind w:left="390" w:right="229" w:firstLine="360"/>
        <w:jc w:val="both"/>
        <w:rPr>
          <w:sz w:val="24"/>
        </w:rPr>
      </w:pPr>
      <w:r>
        <w:rPr>
          <w:color w:val="231F20"/>
          <w:sz w:val="24"/>
        </w:rPr>
        <w:t>教材内容的组织应当实现课程知识目标达成与生物学学科核心素养发展的统一。学生生物学学科核心素养的发展当然需要生物学知识作为基础，但有知识不等于有素养。如何将课程知识的学习过程提升为学生生物学学科核心素养的发展过程，需要教材编写者突破传统思维，对课程内容进行有机组织、巧妙呈现。要尽量避免单纯讲述知识的做法，可以尝试结合实验、生活经验、图文资料等各种资源或途径，引导学生积极思维，主动探索，培养他们从不同的角度和高度认识生命世界，养成综合、开放、创造性思维的习惯，并提升动手实</w:t>
      </w:r>
      <w:r>
        <w:rPr>
          <w:color w:val="231F20"/>
          <w:spacing w:val="4"/>
          <w:sz w:val="24"/>
        </w:rPr>
        <w:t>践能力。要做好这点并不容易，需要经验和智慧。但从另一个角度</w:t>
      </w:r>
      <w:r>
        <w:rPr>
          <w:color w:val="231F20"/>
          <w:sz w:val="24"/>
        </w:rPr>
        <w:t>看，教材编写中蕴含的智慧同样具有教育价值，对学生综合素养的形成与发展也有着潜移默化的影响。</w:t>
      </w:r>
    </w:p>
    <w:p>
      <w:pPr>
        <w:pStyle w:val="ListParagraph"/>
        <w:numPr>
          <w:ilvl w:val="1"/>
          <w:numId w:val="7"/>
        </w:numPr>
        <w:tabs>
          <w:tab w:val="left" w:pos="1356"/>
        </w:tabs>
        <w:spacing w:before="0" w:after="0" w:line="328" w:lineRule="auto"/>
        <w:ind w:left="390" w:right="118" w:firstLine="360"/>
        <w:jc w:val="left"/>
        <w:rPr>
          <w:sz w:val="24"/>
        </w:rPr>
      </w:pPr>
      <w:r>
        <w:rPr>
          <w:color w:val="231F20"/>
          <w:spacing w:val="2"/>
          <w:sz w:val="24"/>
        </w:rPr>
        <w:t>教材内容的呈现方式应当有利于学生通过活动建构新知识。教材的编写，应重视情境的创设。有效的教学情境，能够激发学生的</w:t>
      </w:r>
      <w:r>
        <w:rPr>
          <w:color w:val="231F20"/>
          <w:spacing w:val="5"/>
          <w:sz w:val="24"/>
        </w:rPr>
        <w:t>好奇心和求知欲，点燃学生的学习热情，使学生形成良好的求知心理，从而使学生主动参与对所学知识的探索发现和认识过程，体验学习的乐趣。这样的学习方式，不仅能够帮助学生有效掌握知识，灵活解决问题，也能够培养学生不断探索、勇于创新的科学精神，实事求是的科学态度，以及终身学习的能力。在这方面，广大一线教师在教学实践中积累了大量生动、精彩、有效的教学案例，教材编写者可以从中吸收或借鉴。</w:t>
      </w:r>
    </w:p>
    <w:p>
      <w:pPr>
        <w:pStyle w:val="ListParagraph"/>
        <w:numPr>
          <w:ilvl w:val="1"/>
          <w:numId w:val="7"/>
        </w:numPr>
        <w:tabs>
          <w:tab w:val="left" w:pos="1356"/>
        </w:tabs>
        <w:spacing w:before="0" w:after="0" w:line="328" w:lineRule="auto"/>
        <w:ind w:left="390" w:right="117" w:firstLine="360"/>
        <w:jc w:val="left"/>
        <w:rPr>
          <w:sz w:val="24"/>
        </w:rPr>
      </w:pPr>
      <w:r>
        <w:rPr>
          <w:color w:val="231F20"/>
          <w:spacing w:val="2"/>
          <w:sz w:val="24"/>
        </w:rPr>
        <w:t xml:space="preserve">教材内容的呈现可渗透人文精神。中国传统文化源远流长， </w:t>
      </w:r>
      <w:r>
        <w:rPr>
          <w:color w:val="231F20"/>
          <w:sz w:val="24"/>
        </w:rPr>
        <w:t>博大精深，其中不乏经过实践检验的生物学知识。在教材中适当引入这方面的内容，既能帮助学生更好地理解生物学知识，又能在科学与人文之间搭建沟通的桥梁，提高学生的人文素养。当然，教材自身的语言逻辑和文学美感，也是提高其可读性和人文气息的重要体现。</w:t>
      </w:r>
    </w:p>
    <w:p>
      <w:pPr>
        <w:pStyle w:val="ListParagraph"/>
        <w:numPr>
          <w:ilvl w:val="1"/>
          <w:numId w:val="7"/>
        </w:numPr>
        <w:tabs>
          <w:tab w:val="left" w:pos="1352"/>
        </w:tabs>
        <w:spacing w:before="0" w:after="0" w:line="301" w:lineRule="exact"/>
        <w:ind w:left="1351" w:right="0" w:hanging="602"/>
        <w:jc w:val="left"/>
        <w:rPr>
          <w:sz w:val="24"/>
        </w:rPr>
      </w:pPr>
      <w:r>
        <w:rPr>
          <w:color w:val="231F20"/>
          <w:sz w:val="24"/>
        </w:rPr>
        <w:t>教材应留给使用者一定的空间，体现开放性和可塑性。教材</w:t>
      </w:r>
    </w:p>
    <w:p>
      <w:pPr>
        <w:spacing w:after="0" w:line="301" w:lineRule="exact"/>
        <w:jc w:val="left"/>
        <w:rPr>
          <w:sz w:val="24"/>
        </w:rPr>
        <w:sectPr>
          <w:pgSz w:w="10780" w:h="15090"/>
          <w:pgMar w:top="1260" w:right="1460" w:bottom="1400" w:left="1480" w:header="989" w:footer="1217"/>
          <w:cols w:space="708"/>
        </w:sectPr>
      </w:pPr>
    </w:p>
    <w:p>
      <w:pPr>
        <w:pStyle w:val="BodyText"/>
        <w:rPr>
          <w:sz w:val="20"/>
        </w:rPr>
      </w:pPr>
    </w:p>
    <w:p>
      <w:pPr>
        <w:pStyle w:val="BodyText"/>
        <w:spacing w:before="203" w:line="328" w:lineRule="auto"/>
        <w:ind w:left="220" w:right="408"/>
        <w:jc w:val="both"/>
      </w:pPr>
      <w:r>
        <w:rPr>
          <w:color w:val="231F20"/>
        </w:rPr>
        <w:t>应当尽量避免以绝对权威的面孔出现，应当让学生认识到教材不是让他们被动地、不加思考地全盘接受知识，而是提供一些供他们分析和思考的素材，提出一些供他们活动参考的建议。学生对教材中某个观点提出不同看法，不仅是允许的，而且是值得鼓励的。关于探究活动的指导，有些活动的材料和方法步骤，在教材中可以不作详细的规定，而是让学生自己设计方案，进行探究。但是，这并不意味着教材可以推卸引导和帮助学生的责任，相关的背景材料、提示和建议仍是必要的，而且是需要精心设计的。在课时安排上要留有余地，适当考虑阶段性巩固和训练所需的时间。</w:t>
      </w:r>
    </w:p>
    <w:p>
      <w:pPr>
        <w:pStyle w:val="ListParagraph"/>
        <w:numPr>
          <w:ilvl w:val="1"/>
          <w:numId w:val="7"/>
        </w:numPr>
        <w:tabs>
          <w:tab w:val="left" w:pos="1187"/>
        </w:tabs>
        <w:spacing w:before="0" w:after="0" w:line="328" w:lineRule="auto"/>
        <w:ind w:left="220" w:right="287" w:firstLine="360"/>
        <w:jc w:val="left"/>
        <w:rPr>
          <w:sz w:val="24"/>
        </w:rPr>
      </w:pPr>
      <w:r>
        <w:rPr>
          <w:color w:val="231F20"/>
          <w:sz w:val="24"/>
        </w:rPr>
        <w:t>教材的习题配置应当体现多样、灵活、开放、减负的特点。课后习题主要用于帮助学生巩固所学知识，拓展思维，引导学生将所学知识应用于解决实际问题。因此，习题的设计应有难度梯度，循序渐进。题型可以多样化，有些题目可以设计为开放性的问题，还可设计一些探究性或实践类的小课题。习题应当有助于促进学生的知识迁移和发散思维；应当紧密联系人们的生产和生活实际，特别是学生的生活经验；应当渗透人文精神。同时要把握好题量和难度，避免加重学生的课业负担。</w:t>
      </w:r>
    </w:p>
    <w:p>
      <w:pPr>
        <w:pStyle w:val="ListParagraph"/>
        <w:numPr>
          <w:ilvl w:val="1"/>
          <w:numId w:val="7"/>
        </w:numPr>
        <w:tabs>
          <w:tab w:val="left" w:pos="1182"/>
        </w:tabs>
        <w:spacing w:before="0" w:after="0" w:line="328" w:lineRule="auto"/>
        <w:ind w:left="220" w:right="408" w:firstLine="360"/>
        <w:jc w:val="both"/>
        <w:rPr>
          <w:sz w:val="24"/>
        </w:rPr>
      </w:pPr>
      <w:r>
        <w:rPr>
          <w:color w:val="231F20"/>
          <w:spacing w:val="-1"/>
          <w:sz w:val="24"/>
        </w:rPr>
        <w:t>教材的整体风格应该一致，体现每一版本各自的特色。同一版本的教科书，在内容组织、行文风格、栏目设置、图文排版、装帧</w:t>
      </w:r>
      <w:r>
        <w:rPr>
          <w:color w:val="231F20"/>
          <w:sz w:val="24"/>
        </w:rPr>
        <w:t>设计等方面要尽可能统一，形成自己的风格和特色。</w:t>
      </w:r>
    </w:p>
    <w:p>
      <w:pPr>
        <w:pStyle w:val="BodyText"/>
        <w:rPr>
          <w:sz w:val="26"/>
        </w:rPr>
      </w:pPr>
    </w:p>
    <w:p>
      <w:pPr>
        <w:pStyle w:val="BodyText"/>
        <w:spacing w:before="2"/>
        <w:rPr>
          <w:sz w:val="26"/>
        </w:rPr>
      </w:pPr>
    </w:p>
    <w:p>
      <w:pPr>
        <w:pStyle w:val="Heading2"/>
        <w:ind w:left="540"/>
      </w:pPr>
      <w:r>
        <w:rPr>
          <w:color w:val="231F20"/>
        </w:rPr>
        <w:t>（四）地方和学校实施本课程的建议</w:t>
      </w:r>
    </w:p>
    <w:p>
      <w:pPr>
        <w:pStyle w:val="BodyText"/>
        <w:spacing w:before="12"/>
        <w:rPr>
          <w:sz w:val="36"/>
        </w:rPr>
      </w:pPr>
    </w:p>
    <w:p>
      <w:pPr>
        <w:pStyle w:val="ListParagraph"/>
        <w:numPr>
          <w:ilvl w:val="2"/>
          <w:numId w:val="7"/>
        </w:numPr>
        <w:tabs>
          <w:tab w:val="left" w:pos="1021"/>
        </w:tabs>
        <w:spacing w:before="0" w:after="0" w:line="240" w:lineRule="auto"/>
        <w:ind w:left="1020" w:right="0" w:hanging="321"/>
        <w:jc w:val="both"/>
        <w:rPr>
          <w:sz w:val="24"/>
        </w:rPr>
      </w:pPr>
      <w:r>
        <w:rPr>
          <w:color w:val="231F20"/>
          <w:sz w:val="24"/>
        </w:rPr>
        <w:t>精心规划并全面落实高中生物学课程</w:t>
      </w:r>
    </w:p>
    <w:p>
      <w:pPr>
        <w:pStyle w:val="BodyText"/>
        <w:spacing w:before="197" w:line="328" w:lineRule="auto"/>
        <w:ind w:left="220" w:right="408" w:firstLine="480"/>
        <w:jc w:val="both"/>
      </w:pPr>
      <w:r>
        <w:rPr>
          <w:color w:val="231F20"/>
        </w:rPr>
        <w:t>高中生物学课程在高中课程体系中是不可缺少的，生物学学科核心素养是学生科学素养的重要组成部分，应充分发挥生物学课程在立德树人和促进学生全面发展上的作用。各地方、学校应认真研究生物</w:t>
      </w:r>
    </w:p>
    <w:p>
      <w:pPr>
        <w:spacing w:after="0" w:line="328" w:lineRule="auto"/>
        <w:jc w:val="both"/>
        <w:sectPr>
          <w:pgSz w:w="10780" w:h="15090"/>
          <w:pgMar w:top="1260" w:right="1460" w:bottom="1400" w:left="1480" w:header="1029" w:footer="1217"/>
          <w:cols w:space="708"/>
        </w:sectPr>
      </w:pPr>
    </w:p>
    <w:p>
      <w:pPr>
        <w:pStyle w:val="BodyText"/>
        <w:spacing w:before="10"/>
        <w:rPr>
          <w:sz w:val="29"/>
        </w:rPr>
      </w:pPr>
    </w:p>
    <w:p>
      <w:pPr>
        <w:pStyle w:val="BodyText"/>
        <w:spacing w:before="67" w:line="328" w:lineRule="auto"/>
        <w:ind w:left="390" w:right="130"/>
      </w:pPr>
      <w:r>
        <w:rPr>
          <w:color w:val="231F20"/>
        </w:rPr>
        <w:t>学课程体系，以及各地学业水平考试方案和各校实际，做好高中三年生物学课程的整体实施规划，保证生物学课程目标的全面落实。</w:t>
      </w:r>
    </w:p>
    <w:p>
      <w:pPr>
        <w:pStyle w:val="BodyText"/>
        <w:spacing w:line="328" w:lineRule="auto"/>
        <w:ind w:left="390" w:right="232" w:firstLine="480"/>
        <w:jc w:val="both"/>
      </w:pPr>
      <w:r>
        <w:rPr>
          <w:color w:val="231F20"/>
        </w:rPr>
        <w:t>面向全体学生，开齐、开足必修课程。必修课程是培养学生生物学学科核心素养的共同基础，是学生达到生物学学科核心素养一、二级水平所必须修习的生物学课程，是高中学生毕业水平要求。地方和学校应严格依照普通高中课程方案的要求，做好开设年级和开设学期的规划。鉴于必修课程内容基础性强，建议高一年级全年开设，每周</w:t>
      </w:r>
      <w:r>
        <w:rPr>
          <w:rFonts w:ascii="Times New Roman" w:eastAsia="Times New Roman"/>
          <w:color w:val="231F20"/>
        </w:rPr>
        <w:t xml:space="preserve">2 </w:t>
      </w:r>
      <w:r>
        <w:rPr>
          <w:color w:val="231F20"/>
        </w:rPr>
        <w:t>课时，或高一年级第二学期开设，每周</w:t>
      </w:r>
      <w:r>
        <w:rPr>
          <w:rFonts w:ascii="Times New Roman" w:eastAsia="Times New Roman"/>
          <w:color w:val="231F20"/>
        </w:rPr>
        <w:t xml:space="preserve">4 </w:t>
      </w:r>
      <w:r>
        <w:rPr>
          <w:color w:val="231F20"/>
        </w:rPr>
        <w:t>课时；在课程安排上应保证所有学生都得到修习，全体学生都能达到学业质量标准和生物学学科核心素养的相应水平要求。要充分保证生物学必修内容课时，不宜以其他课程整合的方式替代生物学课程的必修部分。</w:t>
      </w:r>
    </w:p>
    <w:p>
      <w:pPr>
        <w:pStyle w:val="BodyText"/>
        <w:spacing w:line="328" w:lineRule="auto"/>
        <w:ind w:left="390" w:right="117" w:firstLine="480"/>
      </w:pPr>
      <w:r>
        <w:rPr>
          <w:color w:val="231F20"/>
        </w:rPr>
        <w:t>为充分满足学生兴趣、升学需要和职业发展的需求，学校应该合</w:t>
      </w:r>
      <w:r>
        <w:rPr>
          <w:color w:val="231F20"/>
          <w:spacing w:val="1"/>
        </w:rPr>
        <w:t>理开设选择性必修和选修课程。选择性必修课程是为满足学生兴趣、</w:t>
      </w:r>
      <w:r>
        <w:rPr>
          <w:color w:val="231F20"/>
          <w:spacing w:val="2"/>
        </w:rPr>
        <w:t>升学要求和进一步提高部分学生生物学学科核心素养水平而设置的。地方和学校可依据学生的特点，以及高中课程的整体规划，灵活安排开课的学段、开设的方式以及学时，并对学生开展选学指导。选择性</w:t>
      </w:r>
      <w:r>
        <w:rPr>
          <w:color w:val="231F20"/>
          <w:spacing w:val="-3"/>
        </w:rPr>
        <w:t>必修课程应该在必修课程的基础上开设，但“稳态与调节”“生物与</w:t>
      </w:r>
      <w:r>
        <w:rPr>
          <w:color w:val="231F20"/>
          <w:spacing w:val="-9"/>
        </w:rPr>
        <w:t>环境”“生物技术与工程”三模块之间没有必然顺序，可以根据学校</w:t>
      </w:r>
      <w:r>
        <w:rPr>
          <w:color w:val="231F20"/>
        </w:rPr>
        <w:t>和学生的实际，与学生兴趣活动、科技活动、社会实践等有机结合， 可以依据选课学生的数量、师资和设备等条件，发挥校际间的资源优</w:t>
      </w:r>
      <w:r>
        <w:rPr>
          <w:color w:val="231F20"/>
          <w:spacing w:val="5"/>
        </w:rPr>
        <w:t>势联合开设，供学生跨校修习。选修课程提供了三个方向若干个课程，供学校参考；也可发挥学校和教师的积极性和创造性，开设出具有地方和学校特色的校本课程。</w:t>
      </w:r>
    </w:p>
    <w:p>
      <w:pPr>
        <w:pStyle w:val="BodyText"/>
        <w:spacing w:before="5"/>
        <w:rPr>
          <w:sz w:val="23"/>
        </w:rPr>
      </w:pPr>
    </w:p>
    <w:p>
      <w:pPr>
        <w:pStyle w:val="ListParagraph"/>
        <w:numPr>
          <w:ilvl w:val="2"/>
          <w:numId w:val="7"/>
        </w:numPr>
        <w:tabs>
          <w:tab w:val="left" w:pos="1192"/>
        </w:tabs>
        <w:spacing w:before="0" w:after="0" w:line="240" w:lineRule="auto"/>
        <w:ind w:left="1191" w:right="0" w:hanging="322"/>
        <w:jc w:val="both"/>
        <w:rPr>
          <w:sz w:val="24"/>
        </w:rPr>
      </w:pPr>
      <w:r>
        <w:rPr>
          <w:color w:val="231F20"/>
          <w:sz w:val="24"/>
        </w:rPr>
        <w:t>强化以评价为导向的课程管理</w:t>
      </w:r>
    </w:p>
    <w:p>
      <w:pPr>
        <w:pStyle w:val="BodyText"/>
        <w:spacing w:before="198" w:line="328" w:lineRule="auto"/>
        <w:ind w:left="390" w:right="238" w:firstLine="480"/>
        <w:jc w:val="both"/>
      </w:pPr>
      <w:r>
        <w:rPr>
          <w:color w:val="231F20"/>
        </w:rPr>
        <w:t>评价是生物学课程管理的重要手段，地方、学校在生物学课程管理中，可依据普通高中课程方案的精神，按照生物学课程目标的要求，制订课程评价体系，规范、激励、引导教师和学生的教和学的行</w:t>
      </w:r>
    </w:p>
    <w:p>
      <w:pPr>
        <w:spacing w:after="0" w:line="328" w:lineRule="auto"/>
        <w:jc w:val="both"/>
        <w:sectPr>
          <w:pgSz w:w="10780" w:h="15090"/>
          <w:pgMar w:top="1260" w:right="1460" w:bottom="1400" w:left="1480" w:header="989" w:footer="1217"/>
          <w:cols w:space="708"/>
        </w:sectPr>
      </w:pPr>
    </w:p>
    <w:p>
      <w:pPr>
        <w:pStyle w:val="BodyText"/>
        <w:rPr>
          <w:sz w:val="20"/>
        </w:rPr>
      </w:pPr>
    </w:p>
    <w:p>
      <w:pPr>
        <w:pStyle w:val="BodyText"/>
        <w:spacing w:before="203"/>
        <w:ind w:left="220"/>
      </w:pPr>
      <w:r>
        <w:rPr>
          <w:color w:val="231F20"/>
        </w:rPr>
        <w:t>为，保证课程规划和目标的有效落实。</w:t>
      </w:r>
    </w:p>
    <w:p>
      <w:pPr>
        <w:pStyle w:val="BodyText"/>
        <w:spacing w:before="112" w:line="328" w:lineRule="auto"/>
        <w:ind w:left="220" w:right="408" w:firstLine="480"/>
        <w:jc w:val="both"/>
      </w:pPr>
      <w:r>
        <w:rPr>
          <w:color w:val="231F20"/>
        </w:rPr>
        <w:t>地方和学校应依据生物学学科核心素养的内涵以及相应的表现水平，制订学业水平考试方案和模块的学业质量达标测评方案，及时研究反馈测评结果，指导学校不断改进课程规划和课程管理，引导教师和学生朝着课程目标的方向不断改进教学方式和学习方式。</w:t>
      </w:r>
    </w:p>
    <w:p>
      <w:pPr>
        <w:pStyle w:val="BodyText"/>
        <w:spacing w:line="328" w:lineRule="auto"/>
        <w:ind w:left="220" w:right="312" w:firstLine="480"/>
        <w:jc w:val="both"/>
      </w:pPr>
      <w:r>
        <w:rPr>
          <w:color w:val="231F20"/>
        </w:rPr>
        <w:t>学校可组织教师认真研究生物学学科核心素养和课程目标，不断完善教学评价标准，关注教学目标是否指向学生的核心素养，教学方式是否有利于学生形成核心素养，教学结果是否发展了学生的核心素养。学校应积极支持和鼓励教师教学方式的转变，创造条件支持教师</w:t>
      </w:r>
      <w:r>
        <w:rPr>
          <w:color w:val="231F20"/>
          <w:spacing w:val="-13"/>
        </w:rPr>
        <w:t>开展探究式学习、小组合作式学习、项目式学习等教学方式的实践探索。</w:t>
      </w:r>
    </w:p>
    <w:p>
      <w:pPr>
        <w:pStyle w:val="BodyText"/>
        <w:spacing w:line="328" w:lineRule="auto"/>
        <w:ind w:left="220" w:right="400" w:firstLine="480"/>
        <w:jc w:val="both"/>
      </w:pPr>
      <w:r>
        <w:rPr>
          <w:color w:val="231F20"/>
        </w:rPr>
        <w:t>学生核心素养的形成，不仅受教师教学方式的影响，更取决于学生的学习过程和学习方式。学校可充分发挥综合素质评价的引导作用，积极开设选修课程，并将修习情况列为综合素质评价的内容，鼓励教师开设与生物学课程相关的课外科技活动和社会实践活动，记录学生相关活动的成果；引导学生以生活、生产实际问题为导向，开展探究、自主、合作式学习；在学习中激发学生的学习兴趣、提高学生应用所学知识解决实际问题的能力，发展学生的核心素养。</w:t>
      </w:r>
    </w:p>
    <w:p>
      <w:pPr>
        <w:pStyle w:val="BodyText"/>
        <w:spacing w:before="1"/>
      </w:pPr>
    </w:p>
    <w:p>
      <w:pPr>
        <w:pStyle w:val="ListParagraph"/>
        <w:numPr>
          <w:ilvl w:val="2"/>
          <w:numId w:val="7"/>
        </w:numPr>
        <w:tabs>
          <w:tab w:val="left" w:pos="1021"/>
        </w:tabs>
        <w:spacing w:before="0" w:after="0" w:line="240" w:lineRule="auto"/>
        <w:ind w:left="1020" w:right="0" w:hanging="321"/>
        <w:jc w:val="both"/>
        <w:rPr>
          <w:sz w:val="24"/>
        </w:rPr>
      </w:pPr>
      <w:r>
        <w:rPr>
          <w:color w:val="231F20"/>
          <w:sz w:val="24"/>
        </w:rPr>
        <w:t>注重基于核心素养的教师培训</w:t>
      </w:r>
    </w:p>
    <w:p>
      <w:pPr>
        <w:pStyle w:val="BodyText"/>
        <w:spacing w:before="198" w:line="328" w:lineRule="auto"/>
        <w:ind w:left="220" w:right="390" w:firstLine="480"/>
        <w:jc w:val="both"/>
      </w:pPr>
      <w:r>
        <w:rPr>
          <w:color w:val="231F20"/>
          <w:spacing w:val="7"/>
        </w:rPr>
        <w:t>本次生物学课程标准的修订，在课程内容上基本继承了</w:t>
      </w:r>
      <w:r>
        <w:rPr>
          <w:rFonts w:ascii="Times New Roman" w:eastAsia="Times New Roman"/>
          <w:color w:val="231F20"/>
          <w:spacing w:val="4"/>
        </w:rPr>
        <w:t xml:space="preserve">2003 </w:t>
      </w:r>
      <w:r>
        <w:rPr>
          <w:color w:val="231F20"/>
        </w:rPr>
        <w:t>年</w:t>
      </w:r>
      <w:r>
        <w:rPr>
          <w:color w:val="231F20"/>
          <w:spacing w:val="6"/>
        </w:rPr>
        <w:t>出版的《普通高中生物课程标准</w:t>
      </w:r>
      <w:r>
        <w:rPr>
          <w:color w:val="231F20"/>
          <w:spacing w:val="7"/>
        </w:rPr>
        <w:t>（实验</w:t>
      </w:r>
      <w:r>
        <w:rPr>
          <w:color w:val="231F20"/>
          <w:spacing w:val="-114"/>
        </w:rPr>
        <w:t>）</w:t>
      </w:r>
      <w:r>
        <w:rPr>
          <w:color w:val="231F20"/>
          <w:spacing w:val="-4"/>
        </w:rPr>
        <w:t>》，体现了基础性，提高了</w:t>
      </w:r>
      <w:r>
        <w:rPr>
          <w:color w:val="231F20"/>
          <w:spacing w:val="6"/>
        </w:rPr>
        <w:t>选择性。就生物学课程内容的整体看，现有教师是比较熟悉的，因</w:t>
      </w:r>
      <w:r>
        <w:rPr>
          <w:color w:val="231F20"/>
          <w:spacing w:val="16"/>
        </w:rPr>
        <w:t>此在实施本课程的教师培训和校本教研中，应针对教师的薄弱环</w:t>
      </w:r>
      <w:r>
        <w:rPr>
          <w:color w:val="231F20"/>
          <w:spacing w:val="5"/>
        </w:rPr>
        <w:t>节，将重点放在如何理解生物学学科核心素养，如何培养学生的核心素养，如何评价学生的核心素养等关键问题上，切实提高教师实</w:t>
      </w:r>
      <w:r>
        <w:rPr>
          <w:color w:val="231F20"/>
          <w:spacing w:val="6"/>
        </w:rPr>
        <w:t>施课程的能力。</w:t>
      </w:r>
    </w:p>
    <w:p>
      <w:pPr>
        <w:pStyle w:val="BodyText"/>
        <w:spacing w:line="328" w:lineRule="auto"/>
        <w:ind w:left="220" w:right="408" w:firstLine="480"/>
      </w:pPr>
      <w:r>
        <w:rPr>
          <w:color w:val="231F20"/>
        </w:rPr>
        <w:t>地方教育行政部门和教研机构应根据当地实际制订教师培训计划，组织实施各级各类培训活动。教师培训应坚持以问题为导向，本</w:t>
      </w:r>
    </w:p>
    <w:p>
      <w:pPr>
        <w:spacing w:after="0" w:line="328" w:lineRule="auto"/>
        <w:sectPr>
          <w:pgSz w:w="10780" w:h="15090"/>
          <w:pgMar w:top="1260" w:right="1460" w:bottom="1400" w:left="1480" w:header="1029" w:footer="1217"/>
          <w:cols w:space="708"/>
        </w:sectPr>
      </w:pPr>
    </w:p>
    <w:p>
      <w:pPr>
        <w:pStyle w:val="BodyText"/>
        <w:spacing w:before="10"/>
        <w:rPr>
          <w:sz w:val="29"/>
        </w:rPr>
      </w:pPr>
    </w:p>
    <w:p>
      <w:pPr>
        <w:pStyle w:val="BodyText"/>
        <w:spacing w:before="67" w:line="328" w:lineRule="auto"/>
        <w:ind w:left="390" w:right="238"/>
        <w:jc w:val="both"/>
      </w:pPr>
      <w:r>
        <w:rPr>
          <w:color w:val="231F20"/>
        </w:rPr>
        <w:t>着有用、管用的原则，既要让教师理解本课程的理念、课程体系、课程目标等宏观问题，更要结合具体的教学内容，指导教师如何从以知识为重点目标转变到以发展学生核心素养为主要目标上来。实现这种转变，需要专家的指导和引领，需要对一线教师多年教学探索成果的借鉴，更需要广大教师的集体智慧。在培训中应采用专家解读、案例剖析、活动示范、互动研讨等灵活多样的形式，提高教师培训的针对性和有效性。</w:t>
      </w:r>
    </w:p>
    <w:p>
      <w:pPr>
        <w:pStyle w:val="BodyText"/>
        <w:spacing w:line="328" w:lineRule="auto"/>
        <w:ind w:left="390" w:right="238" w:firstLine="480"/>
        <w:jc w:val="both"/>
      </w:pPr>
      <w:r>
        <w:rPr>
          <w:color w:val="231F20"/>
        </w:rPr>
        <w:t>校本教研活动具有针对性强、实践性好、互动充分等特点，可以在提高教师实施课程能力和解决课程实施中存在的实际问题方面发挥关键作用。学校应重视校本教研的制度建设，指导并规范校本教研活动，发挥校本教研的作用。地方教育行政部门和教研机构应积极组织校际间校本教研的交流，在物质条件和资金上应给予支持，将提高教师的学科素养和实施课程能力的教研活动常态化。</w:t>
      </w:r>
    </w:p>
    <w:p>
      <w:pPr>
        <w:pStyle w:val="BodyText"/>
        <w:spacing w:line="328" w:lineRule="auto"/>
        <w:ind w:left="390" w:right="229" w:firstLine="480"/>
      </w:pPr>
      <w:r>
        <w:rPr>
          <w:color w:val="231F20"/>
        </w:rPr>
        <w:t>另外，部分地区和学校应该逐步配齐具有生物学专业资格的教师，保证生物学课程的有效实施。</w:t>
      </w:r>
    </w:p>
    <w:p>
      <w:pPr>
        <w:pStyle w:val="BodyText"/>
        <w:spacing w:before="2"/>
      </w:pPr>
    </w:p>
    <w:p>
      <w:pPr>
        <w:pStyle w:val="ListParagraph"/>
        <w:numPr>
          <w:ilvl w:val="2"/>
          <w:numId w:val="7"/>
        </w:numPr>
        <w:tabs>
          <w:tab w:val="left" w:pos="1192"/>
        </w:tabs>
        <w:spacing w:before="1" w:after="0" w:line="240" w:lineRule="auto"/>
        <w:ind w:left="1191" w:right="0" w:hanging="322"/>
        <w:jc w:val="both"/>
        <w:rPr>
          <w:sz w:val="24"/>
        </w:rPr>
      </w:pPr>
      <w:r>
        <w:rPr>
          <w:color w:val="231F20"/>
          <w:sz w:val="24"/>
        </w:rPr>
        <w:t>加强生物学实验室的建设</w:t>
      </w:r>
    </w:p>
    <w:p>
      <w:pPr>
        <w:pStyle w:val="BodyText"/>
        <w:spacing w:before="197" w:line="328" w:lineRule="auto"/>
        <w:ind w:left="390" w:right="238" w:firstLine="480"/>
        <w:jc w:val="both"/>
      </w:pPr>
      <w:r>
        <w:rPr>
          <w:color w:val="231F20"/>
        </w:rPr>
        <w:t>为着力培养学生的生物学学科核心素养，尤其是科学探究和生物学实践能力，应加强生物学实验教学和探究式教学，增加学生动手实践和体验的机会。地方和学校应按照课程的要求，加强生物学实验室和学生实践活动基地的建设。</w:t>
      </w:r>
    </w:p>
    <w:p>
      <w:pPr>
        <w:pStyle w:val="BodyText"/>
        <w:spacing w:line="328" w:lineRule="auto"/>
        <w:ind w:left="390" w:right="238" w:firstLine="480"/>
        <w:jc w:val="both"/>
      </w:pPr>
      <w:r>
        <w:rPr>
          <w:color w:val="231F20"/>
        </w:rPr>
        <w:t>为保障必修课程和选择性必修课程教学提示部分的学生实验活动的实施，地方和学校应依据课程要求和学生数量，制订并实施学校生物学实验室数量、主要实验仪器种类和数量等标准，及时购买必要的实验材料和药品，满足学生实验和实践教学活动的需要，增加所有学生的动手实践的机会。为促进学生开展生物学探究活动、生物科技活动，学校应不断完善生物学实验室的建设，及时补充仪器设备和材料用具，保证实验教学经费的投入。教师也应创造条件，就地取材、因</w:t>
      </w:r>
    </w:p>
    <w:p>
      <w:pPr>
        <w:spacing w:after="0" w:line="328" w:lineRule="auto"/>
        <w:jc w:val="both"/>
        <w:sectPr>
          <w:pgSz w:w="10780" w:h="15090"/>
          <w:pgMar w:top="1260" w:right="1460" w:bottom="1400" w:left="1480" w:header="989" w:footer="1217"/>
          <w:cols w:space="708"/>
        </w:sectPr>
      </w:pPr>
    </w:p>
    <w:p>
      <w:pPr>
        <w:pStyle w:val="BodyText"/>
        <w:rPr>
          <w:sz w:val="20"/>
        </w:rPr>
      </w:pPr>
    </w:p>
    <w:p>
      <w:pPr>
        <w:pStyle w:val="BodyText"/>
        <w:spacing w:before="203" w:line="328" w:lineRule="auto"/>
        <w:ind w:left="220" w:right="290"/>
      </w:pPr>
      <w:r>
        <w:rPr>
          <w:color w:val="231F20"/>
        </w:rPr>
        <w:t>陋就简地开设好生物学实验。有条件的学校应建设专题研究实验室、跨学科综合实验室，满足有学习兴趣的、学有余力的学生的实验活动和科技活动的需要，为他们发展兴趣和继续深造打下基础。</w:t>
      </w:r>
    </w:p>
    <w:p>
      <w:pPr>
        <w:pStyle w:val="BodyText"/>
        <w:spacing w:line="328" w:lineRule="auto"/>
        <w:ind w:left="220" w:right="287" w:firstLine="480"/>
      </w:pPr>
      <w:r>
        <w:rPr>
          <w:color w:val="231F20"/>
        </w:rPr>
        <w:t>学校要加强实验室的管理，制订实验室规则，保证学生在安全、良好的环境中开展实验活动。具有一定学生规模的学校，应配备具有生物学专业技能的实验室管理人员，配合任课教师准备实验，协助指导学生实验活动，提高实验室的使用效率。学校应要求教师参照课程内容要求的建议，安排必修课程的学生实验和实践活动，鼓励教师结合学校和学生实际，设计出有特色和创造性的学生实验，有条件的学校应开放实验室，积极鼓励学生独立或以小组合作方式，针对问题设计实验，自主开展探究活动。</w:t>
      </w:r>
    </w:p>
    <w:p>
      <w:pPr>
        <w:pStyle w:val="BodyText"/>
        <w:spacing w:before="7"/>
      </w:pPr>
    </w:p>
    <w:p>
      <w:pPr>
        <w:pStyle w:val="ListParagraph"/>
        <w:numPr>
          <w:ilvl w:val="2"/>
          <w:numId w:val="7"/>
        </w:numPr>
        <w:tabs>
          <w:tab w:val="left" w:pos="1021"/>
        </w:tabs>
        <w:spacing w:before="0" w:after="0" w:line="240" w:lineRule="auto"/>
        <w:ind w:left="1020" w:right="0" w:hanging="321"/>
        <w:jc w:val="both"/>
        <w:rPr>
          <w:sz w:val="24"/>
        </w:rPr>
      </w:pPr>
      <w:r>
        <w:rPr>
          <w:color w:val="231F20"/>
          <w:sz w:val="24"/>
        </w:rPr>
        <w:t>积极开发与利用生物学课程资源</w:t>
      </w:r>
    </w:p>
    <w:p>
      <w:pPr>
        <w:pStyle w:val="BodyText"/>
        <w:spacing w:before="198" w:line="328" w:lineRule="auto"/>
        <w:ind w:left="220" w:right="400" w:firstLine="480"/>
        <w:jc w:val="both"/>
      </w:pPr>
      <w:r>
        <w:rPr>
          <w:color w:val="231F20"/>
        </w:rPr>
        <w:t>生物学课程资源是指生物学课程实施可利用的所有资源，它不仅影响教师的教学过程和教学方式，也影响学生的学习过程和学习方式，是决定课程实施和课程目标能否有效达成的重要因素。课程资源种类多种多样，为了更好地开发和利用课程资源，学校和教师应特别重视信息化环境下的学习，关注媒体资源、信息技术资源、生活资源和社会资源的开发和利用。</w:t>
      </w:r>
    </w:p>
    <w:p>
      <w:pPr>
        <w:pStyle w:val="ListParagraph"/>
        <w:numPr>
          <w:ilvl w:val="0"/>
          <w:numId w:val="6"/>
        </w:numPr>
        <w:tabs>
          <w:tab w:val="left" w:pos="1182"/>
        </w:tabs>
        <w:spacing w:before="0" w:after="0" w:line="328" w:lineRule="auto"/>
        <w:ind w:left="220" w:right="397" w:firstLine="360"/>
        <w:jc w:val="both"/>
        <w:rPr>
          <w:sz w:val="24"/>
        </w:rPr>
      </w:pPr>
      <w:r>
        <w:rPr>
          <w:color w:val="231F20"/>
          <w:sz w:val="24"/>
        </w:rPr>
        <w:t>广泛利用媒体资源。报纸、杂志、广播、电视、互联网等各</w:t>
      </w:r>
      <w:r>
        <w:rPr>
          <w:color w:val="231F20"/>
          <w:spacing w:val="6"/>
          <w:sz w:val="24"/>
        </w:rPr>
        <w:t>种媒体上生物学发展的信息很多，教师应关注、选择、收集这些信</w:t>
      </w:r>
      <w:r>
        <w:rPr>
          <w:color w:val="231F20"/>
          <w:spacing w:val="2"/>
          <w:sz w:val="24"/>
        </w:rPr>
        <w:t>息；经过适当处理，它们可作为教学情境设计的资料和学生课堂讨</w:t>
      </w:r>
      <w:r>
        <w:rPr>
          <w:color w:val="231F20"/>
          <w:spacing w:val="4"/>
          <w:sz w:val="24"/>
        </w:rPr>
        <w:t>论的素材，也可以用于指导学生课外学习。在利用媒体资源时，教</w:t>
      </w:r>
      <w:r>
        <w:rPr>
          <w:color w:val="231F20"/>
          <w:sz w:val="24"/>
        </w:rPr>
        <w:t>师应当指导学生分辨信息的科学性和真实性，提高学生信息甄别、评价的意识和能力，增强抵制伪科学的社会责任感。</w:t>
      </w:r>
    </w:p>
    <w:p>
      <w:pPr>
        <w:pStyle w:val="ListParagraph"/>
        <w:numPr>
          <w:ilvl w:val="0"/>
          <w:numId w:val="6"/>
        </w:numPr>
        <w:tabs>
          <w:tab w:val="left" w:pos="1182"/>
        </w:tabs>
        <w:spacing w:before="0" w:after="0" w:line="328" w:lineRule="auto"/>
        <w:ind w:left="220" w:right="408" w:firstLine="360"/>
        <w:jc w:val="both"/>
        <w:rPr>
          <w:sz w:val="24"/>
        </w:rPr>
      </w:pPr>
      <w:r>
        <w:rPr>
          <w:color w:val="231F20"/>
          <w:spacing w:val="-1"/>
          <w:sz w:val="24"/>
        </w:rPr>
        <w:t>积极开发和利用信息技术课程资源。学校应加强信息技术资源的建设，鼓励教师开发课件、微课以及各种多媒体课程资源，不断丰富校园网上的各种生物学信息。学校应创造条件，鼓励教师积极运</w:t>
      </w:r>
    </w:p>
    <w:p>
      <w:pPr>
        <w:spacing w:after="0" w:line="328" w:lineRule="auto"/>
        <w:jc w:val="both"/>
        <w:rPr>
          <w:sz w:val="24"/>
        </w:rPr>
        <w:sectPr>
          <w:pgSz w:w="10780" w:h="15090"/>
          <w:pgMar w:top="1260" w:right="1460" w:bottom="1400" w:left="1480" w:header="1029" w:footer="1217"/>
          <w:cols w:space="708"/>
        </w:sectPr>
      </w:pPr>
    </w:p>
    <w:p>
      <w:pPr>
        <w:pStyle w:val="BodyText"/>
        <w:spacing w:before="10"/>
        <w:rPr>
          <w:sz w:val="29"/>
        </w:rPr>
      </w:pPr>
    </w:p>
    <w:p>
      <w:pPr>
        <w:pStyle w:val="BodyText"/>
        <w:spacing w:before="67" w:line="328" w:lineRule="auto"/>
        <w:ind w:left="390" w:right="120"/>
      </w:pPr>
      <w:r>
        <w:rPr>
          <w:color w:val="231F20"/>
        </w:rPr>
        <w:t>用信息技术资源，一方面服务于课堂教学活动，改进课堂教学方式， 增加师生间和生生间的互动交流，提高课堂教学效率；另一方面服务于学生的自主学习活动，让学生利用校园网上的课件、微课、微视频，以及各种生物学信息资源，开展自主学习，拓展学科视野。</w:t>
      </w:r>
    </w:p>
    <w:p>
      <w:pPr>
        <w:pStyle w:val="ListParagraph"/>
        <w:numPr>
          <w:ilvl w:val="0"/>
          <w:numId w:val="6"/>
        </w:numPr>
        <w:tabs>
          <w:tab w:val="left" w:pos="1352"/>
        </w:tabs>
        <w:spacing w:before="0" w:after="0" w:line="328" w:lineRule="auto"/>
        <w:ind w:left="390" w:right="238" w:firstLine="360"/>
        <w:jc w:val="both"/>
        <w:rPr>
          <w:sz w:val="24"/>
        </w:rPr>
      </w:pPr>
      <w:r>
        <w:rPr>
          <w:color w:val="231F20"/>
          <w:spacing w:val="-1"/>
          <w:sz w:val="24"/>
        </w:rPr>
        <w:t>充分利用学生的生活资源。充分利用学生的生活经验以及学生所了解的生物学信息，如学生成长发育历程的体验、常见疾病的预防和治疗、饲养动物或种植植物的经历等，作为课程资源引入教学活动，可以丰富教学情境，使生物学课程的学习与生活实际形成紧密联系，激发学生主动参与教学活动的积极性，加深对生物学课程价值的</w:t>
      </w:r>
      <w:r>
        <w:rPr>
          <w:color w:val="231F20"/>
          <w:sz w:val="24"/>
        </w:rPr>
        <w:t>理解。</w:t>
      </w:r>
    </w:p>
    <w:p>
      <w:pPr>
        <w:pStyle w:val="ListParagraph"/>
        <w:numPr>
          <w:ilvl w:val="0"/>
          <w:numId w:val="6"/>
        </w:numPr>
        <w:tabs>
          <w:tab w:val="left" w:pos="1354"/>
        </w:tabs>
        <w:spacing w:before="0" w:after="0" w:line="328" w:lineRule="auto"/>
        <w:ind w:left="390" w:right="116" w:firstLine="360"/>
        <w:jc w:val="left"/>
        <w:rPr>
          <w:sz w:val="24"/>
        </w:rPr>
      </w:pPr>
      <w:r>
        <w:rPr>
          <w:color w:val="231F20"/>
          <w:spacing w:val="-11"/>
          <w:sz w:val="24"/>
        </w:rPr>
        <w:t>积极利用社会上的生物学课程资源。社会上的生物学课程资源</w:t>
      </w:r>
      <w:r>
        <w:rPr>
          <w:color w:val="231F20"/>
          <w:spacing w:val="-12"/>
          <w:sz w:val="24"/>
        </w:rPr>
        <w:t>极其丰富。例如，本地区的博物馆、科技馆、医院、园林绿化部门、相</w:t>
      </w:r>
      <w:r>
        <w:rPr>
          <w:color w:val="231F20"/>
          <w:spacing w:val="-9"/>
          <w:sz w:val="24"/>
        </w:rPr>
        <w:t>关企业、大专院校以及科研部门等，都可为学生学习生物学提供资源。</w:t>
      </w:r>
      <w:r>
        <w:rPr>
          <w:color w:val="231F20"/>
          <w:spacing w:val="-10"/>
          <w:sz w:val="24"/>
        </w:rPr>
        <w:t>利用这些资源的方式多种多样。例如，可以从有关单位获得生物学实验</w:t>
      </w:r>
      <w:r>
        <w:rPr>
          <w:color w:val="231F20"/>
          <w:spacing w:val="-12"/>
          <w:sz w:val="24"/>
        </w:rPr>
        <w:t>教学材料，可以将有关机构作为与生物学课程相关的学生实践活动基地， 可以请有关专业人员来校开讲座和指导师生开展实验、实践活动等。</w:t>
      </w:r>
    </w:p>
    <w:p>
      <w:pPr>
        <w:pStyle w:val="ListParagraph"/>
        <w:numPr>
          <w:ilvl w:val="0"/>
          <w:numId w:val="6"/>
        </w:numPr>
        <w:tabs>
          <w:tab w:val="left" w:pos="1356"/>
        </w:tabs>
        <w:spacing w:before="0" w:after="0" w:line="328" w:lineRule="auto"/>
        <w:ind w:left="390" w:right="117" w:firstLine="360"/>
        <w:jc w:val="left"/>
        <w:rPr>
          <w:sz w:val="24"/>
        </w:rPr>
      </w:pPr>
      <w:r>
        <w:rPr>
          <w:color w:val="231F20"/>
          <w:spacing w:val="2"/>
          <w:sz w:val="24"/>
        </w:rPr>
        <w:t>重视地方教育行政部门、学校校长和教师的课程能力建设。</w:t>
      </w:r>
      <w:r>
        <w:rPr>
          <w:color w:val="231F20"/>
          <w:spacing w:val="-8"/>
          <w:sz w:val="24"/>
        </w:rPr>
        <w:t>选修课从“现实生活应用”“职业规划前瞻”和“学业发展基础”三</w:t>
      </w:r>
      <w:r>
        <w:rPr>
          <w:color w:val="231F20"/>
          <w:sz w:val="24"/>
        </w:rPr>
        <w:t>个方向，为推进与落实学生多元化发展提供了地方及校本课程的开设建议。同时，这也对地方、学校、教师的课程开发与设计等相关能力</w:t>
      </w:r>
      <w:r>
        <w:rPr>
          <w:color w:val="231F20"/>
          <w:spacing w:val="7"/>
          <w:sz w:val="24"/>
        </w:rPr>
        <w:t>提出了新的要求和挑战。各地和各学校在推进课程标准实施的过程</w:t>
      </w:r>
      <w:r>
        <w:rPr>
          <w:color w:val="231F20"/>
          <w:sz w:val="24"/>
        </w:rPr>
        <w:t>中，应通过多种形式为教师在课程的开发与设计、实施与改进等方面的专业发展提供支持和帮助，从而逐步提高地方和学校在选修课开发与建设方面的能力，促进高质量的选修课程体系的建设，满足学生多元发展的需求。</w:t>
      </w:r>
    </w:p>
    <w:p>
      <w:pPr>
        <w:spacing w:after="0" w:line="328" w:lineRule="auto"/>
        <w:jc w:val="left"/>
        <w:rPr>
          <w:sz w:val="24"/>
        </w:rPr>
        <w:sectPr>
          <w:pgSz w:w="10780" w:h="15090"/>
          <w:pgMar w:top="1260" w:right="1460" w:bottom="1400" w:left="1480" w:header="989" w:footer="1217"/>
          <w:cols w:space="708"/>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ind w:left="220"/>
      </w:pPr>
      <w:r>
        <w:rPr>
          <w:color w:val="231F20"/>
        </w:rPr>
        <w:t>附录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6"/>
        </w:rPr>
      </w:pPr>
    </w:p>
    <w:p>
      <w:pPr>
        <w:pStyle w:val="Heading2"/>
        <w:tabs>
          <w:tab w:val="left" w:pos="1159"/>
        </w:tabs>
        <w:spacing w:before="71"/>
        <w:ind w:left="0" w:right="188"/>
        <w:jc w:val="center"/>
      </w:pPr>
      <w:r>
        <w:rPr>
          <w:color w:val="231F20"/>
        </w:rPr>
        <w:t>附</w:t>
      </w:r>
      <w:r>
        <w:rPr>
          <w:color w:val="231F20"/>
          <w:spacing w:val="40"/>
        </w:rPr>
        <w:t>录</w:t>
      </w:r>
      <w:r>
        <w:rPr>
          <w:rFonts w:ascii="Times New Roman" w:eastAsia="Times New Roman"/>
          <w:color w:val="231F20"/>
        </w:rPr>
        <w:t>1</w:t>
        <w:tab/>
      </w:r>
      <w:r>
        <w:rPr>
          <w:color w:val="231F20"/>
        </w:rPr>
        <w:t>学科核心素养水平划分</w:t>
      </w:r>
    </w:p>
    <w:p>
      <w:pPr>
        <w:pStyle w:val="BodyText"/>
        <w:rPr>
          <w:sz w:val="20"/>
        </w:rPr>
      </w:pPr>
    </w:p>
    <w:p>
      <w:pPr>
        <w:pStyle w:val="BodyText"/>
        <w:spacing w:before="3"/>
        <w:rPr>
          <w:sz w:val="16"/>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775"/>
        <w:gridCol w:w="6425"/>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731"/>
          <w:jc w:val="left"/>
        </w:trPr>
        <w:tc>
          <w:tcPr>
            <w:tcW w:w="775" w:type="dxa"/>
          </w:tcPr>
          <w:p>
            <w:pPr>
              <w:pStyle w:val="TableParagraph"/>
              <w:spacing w:before="12" w:line="320" w:lineRule="atLeast"/>
              <w:ind w:left="185" w:right="172"/>
              <w:rPr>
                <w:sz w:val="20"/>
              </w:rPr>
            </w:pPr>
            <w:r>
              <w:rPr>
                <w:color w:val="231F20"/>
                <w:sz w:val="20"/>
              </w:rPr>
              <w:t>素养水平</w:t>
            </w:r>
          </w:p>
        </w:tc>
        <w:tc>
          <w:tcPr>
            <w:tcW w:w="6425" w:type="dxa"/>
          </w:tcPr>
          <w:p>
            <w:pPr>
              <w:pStyle w:val="TableParagraph"/>
              <w:spacing w:before="5"/>
              <w:rPr>
                <w:sz w:val="18"/>
              </w:rPr>
            </w:pPr>
          </w:p>
          <w:p>
            <w:pPr>
              <w:pStyle w:val="TableParagraph"/>
              <w:ind w:left="2389" w:right="2379"/>
              <w:jc w:val="center"/>
              <w:rPr>
                <w:sz w:val="20"/>
              </w:rPr>
            </w:pPr>
            <w:r>
              <w:rPr>
                <w:color w:val="231F20"/>
                <w:sz w:val="20"/>
              </w:rPr>
              <w:t>素养1 ：生命观念</w:t>
            </w:r>
          </w:p>
        </w:tc>
      </w:tr>
      <w:tr>
        <w:tblPrEx>
          <w:tblW w:w="0" w:type="auto"/>
          <w:jc w:val="left"/>
          <w:tblInd w:w="235" w:type="dxa"/>
          <w:tblLayout w:type="fixed"/>
          <w:tblCellMar>
            <w:top w:w="0" w:type="dxa"/>
            <w:left w:w="0" w:type="dxa"/>
            <w:bottom w:w="0" w:type="dxa"/>
            <w:right w:w="0" w:type="dxa"/>
          </w:tblCellMar>
          <w:tblLook w:val="01E0"/>
        </w:tblPrEx>
        <w:trPr>
          <w:trHeight w:val="1185"/>
          <w:jc w:val="left"/>
        </w:trPr>
        <w:tc>
          <w:tcPr>
            <w:tcW w:w="775" w:type="dxa"/>
          </w:tcPr>
          <w:p>
            <w:pPr>
              <w:pStyle w:val="TableParagraph"/>
              <w:spacing w:before="8"/>
              <w:rPr>
                <w:sz w:val="23"/>
              </w:rPr>
            </w:pPr>
          </w:p>
          <w:p>
            <w:pPr>
              <w:pStyle w:val="TableParagraph"/>
              <w:spacing w:line="300" w:lineRule="auto"/>
              <w:ind w:left="285" w:right="172" w:hanging="100"/>
              <w:rPr>
                <w:sz w:val="20"/>
              </w:rPr>
            </w:pPr>
            <w:r>
              <w:rPr>
                <w:color w:val="231F20"/>
                <w:sz w:val="20"/>
              </w:rPr>
              <w:t>水平一</w:t>
            </w:r>
          </w:p>
        </w:tc>
        <w:tc>
          <w:tcPr>
            <w:tcW w:w="6425" w:type="dxa"/>
          </w:tcPr>
          <w:p>
            <w:pPr>
              <w:pStyle w:val="TableParagraph"/>
              <w:spacing w:before="143" w:line="300" w:lineRule="auto"/>
              <w:ind w:left="111" w:right="98"/>
              <w:jc w:val="both"/>
              <w:rPr>
                <w:sz w:val="20"/>
              </w:rPr>
            </w:pPr>
            <w:r>
              <w:rPr>
                <w:color w:val="231F20"/>
                <w:sz w:val="20"/>
              </w:rPr>
              <w:t>初步具有结构与功能相适应的观念以及生物进化观念，能从分子与细胞水平认识生物体的结构与功能是相适应的，生物的适应性是长期进化的结果。初步具有物质和能量观。</w:t>
            </w:r>
          </w:p>
        </w:tc>
      </w:tr>
      <w:tr>
        <w:tblPrEx>
          <w:tblW w:w="0" w:type="auto"/>
          <w:jc w:val="left"/>
          <w:tblInd w:w="235" w:type="dxa"/>
          <w:tblLayout w:type="fixed"/>
          <w:tblCellMar>
            <w:top w:w="0" w:type="dxa"/>
            <w:left w:w="0" w:type="dxa"/>
            <w:bottom w:w="0" w:type="dxa"/>
            <w:right w:w="0" w:type="dxa"/>
          </w:tblCellMar>
          <w:tblLook w:val="01E0"/>
        </w:tblPrEx>
        <w:trPr>
          <w:trHeight w:val="1171"/>
          <w:jc w:val="left"/>
        </w:trPr>
        <w:tc>
          <w:tcPr>
            <w:tcW w:w="775" w:type="dxa"/>
          </w:tcPr>
          <w:p>
            <w:pPr>
              <w:pStyle w:val="TableParagraph"/>
              <w:spacing w:before="1"/>
              <w:rPr>
                <w:sz w:val="23"/>
              </w:rPr>
            </w:pPr>
          </w:p>
          <w:p>
            <w:pPr>
              <w:pStyle w:val="TableParagraph"/>
              <w:spacing w:line="300" w:lineRule="auto"/>
              <w:ind w:left="285" w:right="172" w:hanging="100"/>
              <w:rPr>
                <w:sz w:val="20"/>
              </w:rPr>
            </w:pPr>
            <w:r>
              <w:rPr>
                <w:color w:val="231F20"/>
                <w:sz w:val="20"/>
              </w:rPr>
              <w:t>水平二</w:t>
            </w:r>
          </w:p>
        </w:tc>
        <w:tc>
          <w:tcPr>
            <w:tcW w:w="6425" w:type="dxa"/>
          </w:tcPr>
          <w:p>
            <w:pPr>
              <w:pStyle w:val="TableParagraph"/>
              <w:spacing w:before="136" w:line="300" w:lineRule="auto"/>
              <w:ind w:left="111" w:right="98"/>
              <w:jc w:val="both"/>
              <w:rPr>
                <w:sz w:val="20"/>
              </w:rPr>
            </w:pPr>
            <w:r>
              <w:rPr>
                <w:color w:val="231F20"/>
                <w:sz w:val="20"/>
              </w:rPr>
              <w:t>具有结构与功能相适应的观念和生物进化观念，并能运用这些观念分析和解释简单情境中的生命现象。具有物质和能量观，结合简单情境说明生命活动的维持包括物质代谢和能量代谢。</w:t>
            </w:r>
          </w:p>
        </w:tc>
      </w:tr>
      <w:tr>
        <w:tblPrEx>
          <w:tblW w:w="0" w:type="auto"/>
          <w:jc w:val="left"/>
          <w:tblInd w:w="235" w:type="dxa"/>
          <w:tblLayout w:type="fixed"/>
          <w:tblCellMar>
            <w:top w:w="0" w:type="dxa"/>
            <w:left w:w="0" w:type="dxa"/>
            <w:bottom w:w="0" w:type="dxa"/>
            <w:right w:w="0" w:type="dxa"/>
          </w:tblCellMar>
          <w:tblLook w:val="01E0"/>
        </w:tblPrEx>
        <w:trPr>
          <w:trHeight w:val="1145"/>
          <w:jc w:val="left"/>
        </w:trPr>
        <w:tc>
          <w:tcPr>
            <w:tcW w:w="775" w:type="dxa"/>
          </w:tcPr>
          <w:p>
            <w:pPr>
              <w:pStyle w:val="TableParagraph"/>
              <w:spacing w:before="1"/>
              <w:rPr>
                <w:sz w:val="22"/>
              </w:rPr>
            </w:pPr>
          </w:p>
          <w:p>
            <w:pPr>
              <w:pStyle w:val="TableParagraph"/>
              <w:spacing w:line="300" w:lineRule="auto"/>
              <w:ind w:left="285" w:right="172" w:hanging="100"/>
              <w:rPr>
                <w:sz w:val="20"/>
              </w:rPr>
            </w:pPr>
            <w:r>
              <w:rPr>
                <w:color w:val="231F20"/>
                <w:sz w:val="20"/>
              </w:rPr>
              <w:t>水平三</w:t>
            </w:r>
          </w:p>
        </w:tc>
        <w:tc>
          <w:tcPr>
            <w:tcW w:w="6425" w:type="dxa"/>
          </w:tcPr>
          <w:p>
            <w:pPr>
              <w:pStyle w:val="TableParagraph"/>
              <w:spacing w:before="123" w:line="300" w:lineRule="auto"/>
              <w:ind w:left="111" w:right="98"/>
              <w:jc w:val="both"/>
              <w:rPr>
                <w:sz w:val="20"/>
              </w:rPr>
            </w:pPr>
            <w:r>
              <w:rPr>
                <w:color w:val="231F20"/>
                <w:sz w:val="20"/>
              </w:rPr>
              <w:t>具有结构与功能相适应的观念和生物进化观念，并能运用这些观念分析和解释较为复杂情境中的生命现象。综合物质和能量观以及稳态与平衡观，在特定情境中说明生态系统中时刻存在着物质循环和能量流动。</w:t>
            </w:r>
          </w:p>
        </w:tc>
      </w:tr>
      <w:tr>
        <w:tblPrEx>
          <w:tblW w:w="0" w:type="auto"/>
          <w:jc w:val="left"/>
          <w:tblInd w:w="23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具有结构与功能相适应的观念和生物进化观念，并能基于这些观念识别</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65" w:right="154"/>
              <w:jc w:val="center"/>
              <w:rPr>
                <w:sz w:val="20"/>
              </w:rPr>
            </w:pPr>
            <w:r>
              <w:rPr>
                <w:color w:val="231F20"/>
                <w:sz w:val="20"/>
              </w:rPr>
              <w:t>水平</w:t>
            </w:r>
          </w:p>
        </w:tc>
        <w:tc>
          <w:tcPr>
            <w:tcW w:w="6425" w:type="dxa"/>
            <w:tcBorders>
              <w:top w:val="nil"/>
              <w:bottom w:val="nil"/>
            </w:tcBorders>
          </w:tcPr>
          <w:p>
            <w:pPr>
              <w:pStyle w:val="TableParagraph"/>
              <w:spacing w:before="23"/>
              <w:ind w:left="111"/>
              <w:rPr>
                <w:sz w:val="20"/>
              </w:rPr>
            </w:pPr>
            <w:r>
              <w:rPr>
                <w:color w:val="231F20"/>
                <w:sz w:val="20"/>
              </w:rPr>
              <w:t>身边的虚假宣传和无科学依据的传言。具有物质和能量观，并能指导、</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1"/>
              <w:jc w:val="center"/>
              <w:rPr>
                <w:sz w:val="20"/>
              </w:rPr>
            </w:pPr>
            <w:r>
              <w:rPr>
                <w:color w:val="231F20"/>
                <w:sz w:val="20"/>
              </w:rPr>
              <w:t>四</w:t>
            </w:r>
          </w:p>
        </w:tc>
        <w:tc>
          <w:tcPr>
            <w:tcW w:w="6425" w:type="dxa"/>
            <w:tcBorders>
              <w:top w:val="nil"/>
              <w:bottom w:val="nil"/>
            </w:tcBorders>
          </w:tcPr>
          <w:p>
            <w:pPr>
              <w:pStyle w:val="TableParagraph"/>
              <w:spacing w:before="23"/>
              <w:ind w:left="111"/>
              <w:rPr>
                <w:sz w:val="20"/>
              </w:rPr>
            </w:pPr>
            <w:r>
              <w:rPr>
                <w:color w:val="231F20"/>
                <w:sz w:val="20"/>
              </w:rPr>
              <w:t>解决生产和实践中的具体问题。具有稳态与平衡观，并能指导人的健康</w:t>
            </w:r>
          </w:p>
        </w:tc>
      </w:tr>
      <w:tr>
        <w:tblPrEx>
          <w:tblW w:w="0" w:type="auto"/>
          <w:jc w:val="left"/>
          <w:tblInd w:w="235" w:type="dxa"/>
          <w:tblLayout w:type="fixed"/>
          <w:tblCellMar>
            <w:top w:w="0" w:type="dxa"/>
            <w:left w:w="0" w:type="dxa"/>
            <w:bottom w:w="0" w:type="dxa"/>
            <w:right w:w="0" w:type="dxa"/>
          </w:tblCellMar>
          <w:tblLook w:val="01E0"/>
        </w:tblPrEx>
        <w:trPr>
          <w:trHeight w:val="358"/>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生活方式；指出某一生态系统的构成要素及影响其平衡的因素。</w:t>
            </w:r>
          </w:p>
        </w:tc>
      </w:tr>
    </w:tbl>
    <w:p>
      <w:pPr>
        <w:spacing w:after="0"/>
        <w:rPr>
          <w:sz w:val="20"/>
        </w:rPr>
        <w:sectPr>
          <w:headerReference w:type="even" r:id="rId59"/>
          <w:footerReference w:type="even" r:id="rId60"/>
          <w:footerReference w:type="default" r:id="rId61"/>
          <w:pgSz w:w="10780" w:h="15090"/>
          <w:pgMar w:top="1420" w:right="1460" w:bottom="1400" w:left="1480" w:header="0" w:footer="1217"/>
          <w:pgNumType w:start="74"/>
          <w:cols w:space="708"/>
        </w:sectPr>
      </w:pPr>
    </w:p>
    <w:p>
      <w:pPr>
        <w:pStyle w:val="BodyText"/>
        <w:rPr>
          <w:sz w:val="20"/>
        </w:rPr>
      </w:pPr>
    </w:p>
    <w:p>
      <w:pPr>
        <w:pStyle w:val="BodyText"/>
        <w:spacing w:before="10"/>
        <w:rPr>
          <w:sz w:val="17"/>
        </w:rPr>
      </w:pPr>
    </w:p>
    <w:tbl>
      <w:tblPr>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775"/>
        <w:gridCol w:w="6425"/>
      </w:tblGrid>
      <w:tr>
        <w:tblPrEx>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731"/>
          <w:jc w:val="left"/>
        </w:trPr>
        <w:tc>
          <w:tcPr>
            <w:tcW w:w="775" w:type="dxa"/>
          </w:tcPr>
          <w:p>
            <w:pPr>
              <w:pStyle w:val="TableParagraph"/>
              <w:spacing w:before="12" w:line="320" w:lineRule="atLeast"/>
              <w:ind w:left="185" w:right="172"/>
              <w:rPr>
                <w:sz w:val="20"/>
              </w:rPr>
            </w:pPr>
            <w:r>
              <w:rPr>
                <w:color w:val="231F20"/>
                <w:sz w:val="20"/>
              </w:rPr>
              <w:t>素养水平</w:t>
            </w:r>
          </w:p>
        </w:tc>
        <w:tc>
          <w:tcPr>
            <w:tcW w:w="6425" w:type="dxa"/>
          </w:tcPr>
          <w:p>
            <w:pPr>
              <w:pStyle w:val="TableParagraph"/>
              <w:spacing w:before="5"/>
              <w:rPr>
                <w:sz w:val="18"/>
              </w:rPr>
            </w:pPr>
          </w:p>
          <w:p>
            <w:pPr>
              <w:pStyle w:val="TableParagraph"/>
              <w:ind w:left="2389" w:right="2379"/>
              <w:jc w:val="center"/>
              <w:rPr>
                <w:sz w:val="20"/>
              </w:rPr>
            </w:pPr>
            <w:r>
              <w:rPr>
                <w:color w:val="231F20"/>
                <w:sz w:val="20"/>
              </w:rPr>
              <w:t>素养2 ：科学思维</w:t>
            </w:r>
          </w:p>
        </w:tc>
      </w:tr>
      <w:tr>
        <w:tblPrEx>
          <w:tblW w:w="0" w:type="auto"/>
          <w:jc w:val="left"/>
          <w:tblInd w:w="405" w:type="dxa"/>
          <w:tblLayout w:type="fixed"/>
          <w:tblCellMar>
            <w:top w:w="0" w:type="dxa"/>
            <w:left w:w="0" w:type="dxa"/>
            <w:bottom w:w="0" w:type="dxa"/>
            <w:right w:w="0" w:type="dxa"/>
          </w:tblCellMar>
          <w:tblLook w:val="01E0"/>
        </w:tblPrEx>
        <w:trPr>
          <w:trHeight w:val="731"/>
          <w:jc w:val="left"/>
        </w:trPr>
        <w:tc>
          <w:tcPr>
            <w:tcW w:w="775" w:type="dxa"/>
          </w:tcPr>
          <w:p>
            <w:pPr>
              <w:pStyle w:val="TableParagraph"/>
              <w:spacing w:before="13" w:line="320" w:lineRule="atLeast"/>
              <w:ind w:left="285" w:right="172" w:hanging="100"/>
              <w:rPr>
                <w:sz w:val="20"/>
              </w:rPr>
            </w:pPr>
            <w:r>
              <w:rPr>
                <w:color w:val="231F20"/>
                <w:sz w:val="20"/>
              </w:rPr>
              <w:t>水平一</w:t>
            </w:r>
          </w:p>
        </w:tc>
        <w:tc>
          <w:tcPr>
            <w:tcW w:w="6425" w:type="dxa"/>
          </w:tcPr>
          <w:p>
            <w:pPr>
              <w:pStyle w:val="TableParagraph"/>
              <w:spacing w:before="13" w:line="320" w:lineRule="atLeast"/>
              <w:ind w:left="111" w:right="98"/>
              <w:rPr>
                <w:sz w:val="20"/>
              </w:rPr>
            </w:pPr>
            <w:r>
              <w:rPr>
                <w:color w:val="231F20"/>
                <w:sz w:val="20"/>
              </w:rPr>
              <w:t>能够认识到生物学概念都是基于科学事实经过论证形成的，并能用这些概念解释简单的生命现象。</w:t>
            </w:r>
          </w:p>
        </w:tc>
      </w:tr>
      <w:tr>
        <w:tblPrEx>
          <w:tblW w:w="0" w:type="auto"/>
          <w:jc w:val="left"/>
          <w:tblInd w:w="405" w:type="dxa"/>
          <w:tblLayout w:type="fixed"/>
          <w:tblCellMar>
            <w:top w:w="0" w:type="dxa"/>
            <w:left w:w="0" w:type="dxa"/>
            <w:bottom w:w="0" w:type="dxa"/>
            <w:right w:w="0" w:type="dxa"/>
          </w:tblCellMar>
          <w:tblLook w:val="01E0"/>
        </w:tblPrEx>
        <w:trPr>
          <w:trHeight w:val="731"/>
          <w:jc w:val="left"/>
        </w:trPr>
        <w:tc>
          <w:tcPr>
            <w:tcW w:w="775" w:type="dxa"/>
          </w:tcPr>
          <w:p>
            <w:pPr>
              <w:pStyle w:val="TableParagraph"/>
              <w:spacing w:before="13" w:line="320" w:lineRule="atLeast"/>
              <w:ind w:left="285" w:right="172" w:hanging="100"/>
              <w:rPr>
                <w:sz w:val="20"/>
              </w:rPr>
            </w:pPr>
            <w:r>
              <w:rPr>
                <w:color w:val="231F20"/>
                <w:sz w:val="20"/>
              </w:rPr>
              <w:t>水平二</w:t>
            </w:r>
          </w:p>
        </w:tc>
        <w:tc>
          <w:tcPr>
            <w:tcW w:w="6425" w:type="dxa"/>
          </w:tcPr>
          <w:p>
            <w:pPr>
              <w:pStyle w:val="TableParagraph"/>
              <w:spacing w:before="13" w:line="320" w:lineRule="atLeast"/>
              <w:ind w:left="111" w:right="98"/>
              <w:rPr>
                <w:sz w:val="20"/>
              </w:rPr>
            </w:pPr>
            <w:r>
              <w:rPr>
                <w:color w:val="231F20"/>
                <w:sz w:val="20"/>
              </w:rPr>
              <w:t>能够以特定的生物学事实为基础形成简单的生物学概念，并用文字或图示的方式正确表达，进而用其解释相应的生命现象。</w:t>
            </w:r>
          </w:p>
        </w:tc>
      </w:tr>
      <w:tr>
        <w:tblPrEx>
          <w:tblW w:w="0" w:type="auto"/>
          <w:jc w:val="left"/>
          <w:tblInd w:w="40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能够从不同的生命现象中，基于事实和证据，运用归纳的方法概括出生</w:t>
            </w:r>
          </w:p>
        </w:tc>
      </w:tr>
      <w:tr>
        <w:tblPrEx>
          <w:tblW w:w="0" w:type="auto"/>
          <w:jc w:val="left"/>
          <w:tblInd w:w="40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65" w:right="154"/>
              <w:jc w:val="center"/>
              <w:rPr>
                <w:sz w:val="20"/>
              </w:rPr>
            </w:pPr>
            <w:r>
              <w:rPr>
                <w:color w:val="231F20"/>
                <w:sz w:val="20"/>
              </w:rPr>
              <w:t>水平</w:t>
            </w:r>
          </w:p>
        </w:tc>
        <w:tc>
          <w:tcPr>
            <w:tcW w:w="6425" w:type="dxa"/>
            <w:tcBorders>
              <w:top w:val="nil"/>
              <w:bottom w:val="nil"/>
            </w:tcBorders>
          </w:tcPr>
          <w:p>
            <w:pPr>
              <w:pStyle w:val="TableParagraph"/>
              <w:spacing w:before="23"/>
              <w:ind w:left="111"/>
              <w:rPr>
                <w:sz w:val="20"/>
              </w:rPr>
            </w:pPr>
            <w:r>
              <w:rPr>
                <w:color w:val="231F20"/>
                <w:sz w:val="20"/>
              </w:rPr>
              <w:t>物学规律，并在某一给定情境中，运用生物学规律和原理，对可能的结</w:t>
            </w:r>
          </w:p>
        </w:tc>
      </w:tr>
      <w:tr>
        <w:tblPrEx>
          <w:tblW w:w="0" w:type="auto"/>
          <w:jc w:val="left"/>
          <w:tblInd w:w="40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1"/>
              <w:jc w:val="center"/>
              <w:rPr>
                <w:sz w:val="20"/>
              </w:rPr>
            </w:pPr>
            <w:r>
              <w:rPr>
                <w:color w:val="231F20"/>
                <w:sz w:val="20"/>
              </w:rPr>
              <w:t>三</w:t>
            </w:r>
          </w:p>
        </w:tc>
        <w:tc>
          <w:tcPr>
            <w:tcW w:w="6425" w:type="dxa"/>
            <w:tcBorders>
              <w:top w:val="nil"/>
              <w:bottom w:val="nil"/>
            </w:tcBorders>
          </w:tcPr>
          <w:p>
            <w:pPr>
              <w:pStyle w:val="TableParagraph"/>
              <w:spacing w:before="23"/>
              <w:ind w:left="111"/>
              <w:rPr>
                <w:sz w:val="20"/>
              </w:rPr>
            </w:pPr>
            <w:r>
              <w:rPr>
                <w:color w:val="231F20"/>
                <w:sz w:val="20"/>
              </w:rPr>
              <w:t>果或发展趋势作出预测或解释，并能够选择文字、图示或模型等方式进</w:t>
            </w:r>
          </w:p>
        </w:tc>
      </w:tr>
      <w:tr>
        <w:tblPrEx>
          <w:tblW w:w="0" w:type="auto"/>
          <w:jc w:val="left"/>
          <w:tblInd w:w="405" w:type="dxa"/>
          <w:tblLayout w:type="fixed"/>
          <w:tblCellMar>
            <w:top w:w="0" w:type="dxa"/>
            <w:left w:w="0" w:type="dxa"/>
            <w:bottom w:w="0" w:type="dxa"/>
            <w:right w:w="0" w:type="dxa"/>
          </w:tblCellMar>
          <w:tblLook w:val="01E0"/>
        </w:tblPrEx>
        <w:trPr>
          <w:trHeight w:val="357"/>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行表达并阐明其内涵。</w:t>
            </w:r>
          </w:p>
        </w:tc>
      </w:tr>
      <w:tr>
        <w:tblPrEx>
          <w:tblW w:w="0" w:type="auto"/>
          <w:jc w:val="left"/>
          <w:tblInd w:w="40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能够在新的问题情境中，基于事实和证据，采用适当的科学思维方法揭</w:t>
            </w:r>
          </w:p>
        </w:tc>
      </w:tr>
      <w:tr>
        <w:tblPrEx>
          <w:tblW w:w="0" w:type="auto"/>
          <w:jc w:val="left"/>
          <w:tblInd w:w="40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65" w:right="154"/>
              <w:jc w:val="center"/>
              <w:rPr>
                <w:sz w:val="20"/>
              </w:rPr>
            </w:pPr>
            <w:r>
              <w:rPr>
                <w:color w:val="231F20"/>
                <w:sz w:val="20"/>
              </w:rPr>
              <w:t>水平</w:t>
            </w:r>
          </w:p>
        </w:tc>
        <w:tc>
          <w:tcPr>
            <w:tcW w:w="6425" w:type="dxa"/>
            <w:tcBorders>
              <w:top w:val="nil"/>
              <w:bottom w:val="nil"/>
            </w:tcBorders>
          </w:tcPr>
          <w:p>
            <w:pPr>
              <w:pStyle w:val="TableParagraph"/>
              <w:spacing w:before="23"/>
              <w:ind w:left="111"/>
              <w:rPr>
                <w:sz w:val="20"/>
              </w:rPr>
            </w:pPr>
            <w:r>
              <w:rPr>
                <w:color w:val="231F20"/>
                <w:sz w:val="20"/>
              </w:rPr>
              <w:t>示生物学规律或机制，并选用恰当的方式表达、阐明其内涵。在面对生</w:t>
            </w:r>
          </w:p>
        </w:tc>
      </w:tr>
      <w:tr>
        <w:tblPrEx>
          <w:tblW w:w="0" w:type="auto"/>
          <w:jc w:val="left"/>
          <w:tblInd w:w="40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1"/>
              <w:jc w:val="center"/>
              <w:rPr>
                <w:sz w:val="20"/>
              </w:rPr>
            </w:pPr>
            <w:r>
              <w:rPr>
                <w:color w:val="231F20"/>
                <w:sz w:val="20"/>
              </w:rPr>
              <w:t>四</w:t>
            </w:r>
          </w:p>
        </w:tc>
        <w:tc>
          <w:tcPr>
            <w:tcW w:w="6425" w:type="dxa"/>
            <w:tcBorders>
              <w:top w:val="nil"/>
              <w:bottom w:val="nil"/>
            </w:tcBorders>
          </w:tcPr>
          <w:p>
            <w:pPr>
              <w:pStyle w:val="TableParagraph"/>
              <w:spacing w:before="23"/>
              <w:ind w:left="111"/>
              <w:rPr>
                <w:sz w:val="20"/>
              </w:rPr>
            </w:pPr>
            <w:r>
              <w:rPr>
                <w:color w:val="231F20"/>
                <w:sz w:val="20"/>
              </w:rPr>
              <w:t>活中与生物学相关的问题并作出决策时，利用多个相关的生物学大概念</w:t>
            </w:r>
          </w:p>
        </w:tc>
      </w:tr>
      <w:tr>
        <w:tblPrEx>
          <w:tblW w:w="0" w:type="auto"/>
          <w:jc w:val="left"/>
          <w:tblInd w:w="405" w:type="dxa"/>
          <w:tblLayout w:type="fixed"/>
          <w:tblCellMar>
            <w:top w:w="0" w:type="dxa"/>
            <w:left w:w="0" w:type="dxa"/>
            <w:bottom w:w="0" w:type="dxa"/>
            <w:right w:w="0" w:type="dxa"/>
          </w:tblCellMar>
          <w:tblLook w:val="01E0"/>
        </w:tblPrEx>
        <w:trPr>
          <w:trHeight w:val="357"/>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或原理，通过逻辑推理阐明个人立场。</w:t>
            </w:r>
          </w:p>
        </w:tc>
      </w:tr>
    </w:tbl>
    <w:p>
      <w:pPr>
        <w:pStyle w:val="BodyText"/>
        <w:rPr>
          <w:sz w:val="20"/>
        </w:rPr>
      </w:pPr>
    </w:p>
    <w:p>
      <w:pPr>
        <w:pStyle w:val="BodyText"/>
        <w:spacing w:before="3"/>
        <w:rPr>
          <w:sz w:val="25"/>
        </w:rPr>
      </w:pPr>
    </w:p>
    <w:tbl>
      <w:tblPr>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775"/>
        <w:gridCol w:w="6425"/>
      </w:tblGrid>
      <w:tr>
        <w:tblPrEx>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731"/>
          <w:jc w:val="left"/>
        </w:trPr>
        <w:tc>
          <w:tcPr>
            <w:tcW w:w="775" w:type="dxa"/>
          </w:tcPr>
          <w:p>
            <w:pPr>
              <w:pStyle w:val="TableParagraph"/>
              <w:spacing w:before="12" w:line="320" w:lineRule="atLeast"/>
              <w:ind w:left="185" w:right="172"/>
              <w:rPr>
                <w:sz w:val="20"/>
              </w:rPr>
            </w:pPr>
            <w:r>
              <w:rPr>
                <w:color w:val="231F20"/>
                <w:sz w:val="20"/>
              </w:rPr>
              <w:t>素养水平</w:t>
            </w:r>
          </w:p>
        </w:tc>
        <w:tc>
          <w:tcPr>
            <w:tcW w:w="6425" w:type="dxa"/>
          </w:tcPr>
          <w:p>
            <w:pPr>
              <w:pStyle w:val="TableParagraph"/>
              <w:spacing w:before="5"/>
              <w:rPr>
                <w:sz w:val="18"/>
              </w:rPr>
            </w:pPr>
          </w:p>
          <w:p>
            <w:pPr>
              <w:pStyle w:val="TableParagraph"/>
              <w:ind w:left="2390" w:right="2379"/>
              <w:jc w:val="center"/>
              <w:rPr>
                <w:sz w:val="20"/>
              </w:rPr>
            </w:pPr>
            <w:r>
              <w:rPr>
                <w:color w:val="231F20"/>
                <w:sz w:val="20"/>
              </w:rPr>
              <w:t>素养3 ：科学探究</w:t>
            </w:r>
          </w:p>
        </w:tc>
      </w:tr>
      <w:tr>
        <w:tblPrEx>
          <w:tblW w:w="0" w:type="auto"/>
          <w:jc w:val="left"/>
          <w:tblInd w:w="405" w:type="dxa"/>
          <w:tblLayout w:type="fixed"/>
          <w:tblCellMar>
            <w:top w:w="0" w:type="dxa"/>
            <w:left w:w="0" w:type="dxa"/>
            <w:bottom w:w="0" w:type="dxa"/>
            <w:right w:w="0" w:type="dxa"/>
          </w:tblCellMar>
          <w:tblLook w:val="01E0"/>
        </w:tblPrEx>
        <w:trPr>
          <w:trHeight w:val="731"/>
          <w:jc w:val="left"/>
        </w:trPr>
        <w:tc>
          <w:tcPr>
            <w:tcW w:w="775" w:type="dxa"/>
          </w:tcPr>
          <w:p>
            <w:pPr>
              <w:pStyle w:val="TableParagraph"/>
              <w:spacing w:before="13" w:line="320" w:lineRule="atLeast"/>
              <w:ind w:left="285" w:right="172" w:hanging="100"/>
              <w:rPr>
                <w:sz w:val="20"/>
              </w:rPr>
            </w:pPr>
            <w:r>
              <w:rPr>
                <w:color w:val="231F20"/>
                <w:sz w:val="20"/>
              </w:rPr>
              <w:t>水平一</w:t>
            </w:r>
          </w:p>
        </w:tc>
        <w:tc>
          <w:tcPr>
            <w:tcW w:w="6425" w:type="dxa"/>
          </w:tcPr>
          <w:p>
            <w:pPr>
              <w:pStyle w:val="TableParagraph"/>
              <w:spacing w:before="13" w:line="320" w:lineRule="atLeast"/>
              <w:ind w:left="111" w:right="98"/>
              <w:rPr>
                <w:sz w:val="20"/>
              </w:rPr>
            </w:pPr>
            <w:r>
              <w:rPr>
                <w:color w:val="231F20"/>
                <w:sz w:val="20"/>
              </w:rPr>
              <w:t>能够使用简单的实验器具；基于给定的实验方案完成简单的实验，记录相关数据；能以书面的形式将实验结果记录下来。</w:t>
            </w:r>
          </w:p>
        </w:tc>
      </w:tr>
      <w:tr>
        <w:tblPrEx>
          <w:tblW w:w="0" w:type="auto"/>
          <w:jc w:val="left"/>
          <w:tblInd w:w="405" w:type="dxa"/>
          <w:tblLayout w:type="fixed"/>
          <w:tblCellMar>
            <w:top w:w="0" w:type="dxa"/>
            <w:left w:w="0" w:type="dxa"/>
            <w:bottom w:w="0" w:type="dxa"/>
            <w:right w:w="0" w:type="dxa"/>
          </w:tblCellMar>
          <w:tblLook w:val="01E0"/>
        </w:tblPrEx>
        <w:trPr>
          <w:trHeight w:val="1051"/>
          <w:jc w:val="left"/>
        </w:trPr>
        <w:tc>
          <w:tcPr>
            <w:tcW w:w="775" w:type="dxa"/>
          </w:tcPr>
          <w:p>
            <w:pPr>
              <w:pStyle w:val="TableParagraph"/>
              <w:spacing w:before="6"/>
              <w:rPr>
                <w:sz w:val="18"/>
              </w:rPr>
            </w:pPr>
          </w:p>
          <w:p>
            <w:pPr>
              <w:pStyle w:val="TableParagraph"/>
              <w:spacing w:line="300" w:lineRule="auto"/>
              <w:ind w:left="285" w:right="172" w:hanging="100"/>
              <w:rPr>
                <w:sz w:val="20"/>
              </w:rPr>
            </w:pPr>
            <w:r>
              <w:rPr>
                <w:color w:val="231F20"/>
                <w:sz w:val="20"/>
              </w:rPr>
              <w:t>水平二</w:t>
            </w:r>
          </w:p>
        </w:tc>
        <w:tc>
          <w:tcPr>
            <w:tcW w:w="6425" w:type="dxa"/>
          </w:tcPr>
          <w:p>
            <w:pPr>
              <w:pStyle w:val="TableParagraph"/>
              <w:spacing w:before="13" w:line="320" w:lineRule="atLeast"/>
              <w:ind w:left="111" w:right="98"/>
              <w:jc w:val="both"/>
              <w:rPr>
                <w:sz w:val="20"/>
              </w:rPr>
            </w:pPr>
            <w:r>
              <w:rPr>
                <w:color w:val="231F20"/>
                <w:sz w:val="20"/>
              </w:rPr>
              <w:t>能够正确使用工具进行观察；提出生物学问题，在给出的多个方案中选取恰当的方案并实施；选用恰当的方法如实记录和分析实验结果；能与他人合作完成探究，以口头或书面的形式与他人展开交流。</w:t>
            </w:r>
          </w:p>
        </w:tc>
      </w:tr>
      <w:tr>
        <w:tblPrEx>
          <w:tblW w:w="0" w:type="auto"/>
          <w:jc w:val="left"/>
          <w:tblInd w:w="40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能够熟练运用工具展开观察；针对特定情境提出可探究的生物学问题或</w:t>
            </w:r>
          </w:p>
        </w:tc>
      </w:tr>
      <w:tr>
        <w:tblPrEx>
          <w:tblW w:w="0" w:type="auto"/>
          <w:jc w:val="left"/>
          <w:tblInd w:w="405" w:type="dxa"/>
          <w:tblLayout w:type="fixed"/>
          <w:tblCellMar>
            <w:top w:w="0" w:type="dxa"/>
            <w:left w:w="0" w:type="dxa"/>
            <w:bottom w:w="0" w:type="dxa"/>
            <w:right w:w="0" w:type="dxa"/>
          </w:tblCellMar>
          <w:tblLook w:val="01E0"/>
        </w:tblPrEx>
        <w:trPr>
          <w:trHeight w:val="960"/>
          <w:jc w:val="left"/>
        </w:trPr>
        <w:tc>
          <w:tcPr>
            <w:tcW w:w="775" w:type="dxa"/>
            <w:tcBorders>
              <w:top w:val="nil"/>
              <w:bottom w:val="nil"/>
            </w:tcBorders>
          </w:tcPr>
          <w:p>
            <w:pPr>
              <w:pStyle w:val="TableParagraph"/>
              <w:spacing w:before="183" w:line="300" w:lineRule="auto"/>
              <w:ind w:left="285" w:right="172" w:hanging="100"/>
              <w:rPr>
                <w:sz w:val="20"/>
              </w:rPr>
            </w:pPr>
            <w:r>
              <w:rPr>
                <w:color w:val="231F20"/>
                <w:sz w:val="20"/>
              </w:rPr>
              <w:t>水平三</w:t>
            </w:r>
          </w:p>
        </w:tc>
        <w:tc>
          <w:tcPr>
            <w:tcW w:w="6425" w:type="dxa"/>
            <w:tcBorders>
              <w:top w:val="nil"/>
              <w:bottom w:val="nil"/>
            </w:tcBorders>
          </w:tcPr>
          <w:p>
            <w:pPr>
              <w:pStyle w:val="TableParagraph"/>
              <w:spacing w:before="23" w:line="300" w:lineRule="auto"/>
              <w:ind w:left="111" w:right="98"/>
              <w:rPr>
                <w:sz w:val="20"/>
              </w:rPr>
            </w:pPr>
            <w:r>
              <w:rPr>
                <w:color w:val="231F20"/>
                <w:spacing w:val="-1"/>
                <w:sz w:val="20"/>
              </w:rPr>
              <w:t>生物工程需求；基于给定的条件，设计并实施探究实验方案或工程学实</w:t>
            </w:r>
            <w:r>
              <w:rPr>
                <w:color w:val="231F20"/>
                <w:spacing w:val="-2"/>
                <w:sz w:val="20"/>
              </w:rPr>
              <w:t>践方案；运用多种方法如实记录和分析实验结果；在小组学习中能主动</w:t>
            </w:r>
          </w:p>
          <w:p>
            <w:pPr>
              <w:pStyle w:val="TableParagraph"/>
              <w:spacing w:line="256" w:lineRule="exact"/>
              <w:ind w:left="111"/>
              <w:rPr>
                <w:sz w:val="20"/>
              </w:rPr>
            </w:pPr>
            <w:r>
              <w:rPr>
                <w:color w:val="231F20"/>
                <w:spacing w:val="11"/>
                <w:sz w:val="20"/>
              </w:rPr>
              <w:t>合作，推进探究方案或工程实践的实施，并运用科学术语报告实验</w:t>
            </w:r>
          </w:p>
        </w:tc>
      </w:tr>
      <w:tr>
        <w:tblPrEx>
          <w:tblW w:w="0" w:type="auto"/>
          <w:jc w:val="left"/>
          <w:tblInd w:w="405" w:type="dxa"/>
          <w:tblLayout w:type="fixed"/>
          <w:tblCellMar>
            <w:top w:w="0" w:type="dxa"/>
            <w:left w:w="0" w:type="dxa"/>
            <w:bottom w:w="0" w:type="dxa"/>
            <w:right w:w="0" w:type="dxa"/>
          </w:tblCellMar>
          <w:tblLook w:val="01E0"/>
        </w:tblPrEx>
        <w:trPr>
          <w:trHeight w:val="357"/>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结果。</w:t>
            </w:r>
          </w:p>
        </w:tc>
      </w:tr>
      <w:tr>
        <w:tblPrEx>
          <w:tblW w:w="0" w:type="auto"/>
          <w:jc w:val="left"/>
          <w:tblInd w:w="40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能够恰当选用并熟练运用工具展开观察；针对日常生活的真实情境提出</w:t>
            </w:r>
          </w:p>
        </w:tc>
      </w:tr>
      <w:tr>
        <w:tblPrEx>
          <w:tblW w:w="0" w:type="auto"/>
          <w:jc w:val="left"/>
          <w:tblInd w:w="405" w:type="dxa"/>
          <w:tblLayout w:type="fixed"/>
          <w:tblCellMar>
            <w:top w:w="0" w:type="dxa"/>
            <w:left w:w="0" w:type="dxa"/>
            <w:bottom w:w="0" w:type="dxa"/>
            <w:right w:w="0" w:type="dxa"/>
          </w:tblCellMar>
          <w:tblLook w:val="01E0"/>
        </w:tblPrEx>
        <w:trPr>
          <w:trHeight w:val="960"/>
          <w:jc w:val="left"/>
        </w:trPr>
        <w:tc>
          <w:tcPr>
            <w:tcW w:w="775" w:type="dxa"/>
            <w:tcBorders>
              <w:top w:val="nil"/>
              <w:bottom w:val="nil"/>
            </w:tcBorders>
          </w:tcPr>
          <w:p>
            <w:pPr>
              <w:pStyle w:val="TableParagraph"/>
              <w:spacing w:before="183" w:line="300" w:lineRule="auto"/>
              <w:ind w:left="285" w:right="172" w:hanging="100"/>
              <w:rPr>
                <w:sz w:val="20"/>
              </w:rPr>
            </w:pPr>
            <w:r>
              <w:rPr>
                <w:color w:val="231F20"/>
                <w:sz w:val="20"/>
              </w:rPr>
              <w:t>水平四</w:t>
            </w:r>
          </w:p>
        </w:tc>
        <w:tc>
          <w:tcPr>
            <w:tcW w:w="6425" w:type="dxa"/>
            <w:tcBorders>
              <w:top w:val="nil"/>
              <w:bottom w:val="nil"/>
            </w:tcBorders>
          </w:tcPr>
          <w:p>
            <w:pPr>
              <w:pStyle w:val="TableParagraph"/>
              <w:spacing w:before="23" w:line="300" w:lineRule="auto"/>
              <w:ind w:left="111" w:right="98"/>
              <w:rPr>
                <w:sz w:val="20"/>
              </w:rPr>
            </w:pPr>
            <w:r>
              <w:rPr>
                <w:color w:val="231F20"/>
                <w:spacing w:val="-1"/>
                <w:sz w:val="20"/>
              </w:rPr>
              <w:t>清晰的、有价值的、可探究的生命科学问题或可达成的工程学需求；基</w:t>
            </w:r>
            <w:r>
              <w:rPr>
                <w:color w:val="231F20"/>
                <w:spacing w:val="-2"/>
                <w:sz w:val="20"/>
              </w:rPr>
              <w:t>于对相关资料的查阅，设计并实施恰当可行的方案；运用多种方法如实</w:t>
            </w:r>
          </w:p>
          <w:p>
            <w:pPr>
              <w:pStyle w:val="TableParagraph"/>
              <w:spacing w:line="256" w:lineRule="exact"/>
              <w:ind w:left="111"/>
              <w:rPr>
                <w:sz w:val="20"/>
              </w:rPr>
            </w:pPr>
            <w:r>
              <w:rPr>
                <w:color w:val="231F20"/>
                <w:spacing w:val="-1"/>
                <w:sz w:val="20"/>
              </w:rPr>
              <w:t>记录，并创造性地运用数学方法分析实验结果；能够在团队中起组织和</w:t>
            </w:r>
          </w:p>
        </w:tc>
      </w:tr>
      <w:tr>
        <w:tblPrEx>
          <w:tblW w:w="0" w:type="auto"/>
          <w:jc w:val="left"/>
          <w:tblInd w:w="405" w:type="dxa"/>
          <w:tblLayout w:type="fixed"/>
          <w:tblCellMar>
            <w:top w:w="0" w:type="dxa"/>
            <w:left w:w="0" w:type="dxa"/>
            <w:bottom w:w="0" w:type="dxa"/>
            <w:right w:w="0" w:type="dxa"/>
          </w:tblCellMar>
          <w:tblLook w:val="01E0"/>
        </w:tblPrEx>
        <w:trPr>
          <w:trHeight w:val="357"/>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引领作用，运用科学术语精确阐明实验结果，并展开交流。</w:t>
            </w:r>
          </w:p>
        </w:tc>
      </w:tr>
    </w:tbl>
    <w:p>
      <w:pPr>
        <w:spacing w:after="0"/>
        <w:rPr>
          <w:sz w:val="20"/>
        </w:rPr>
        <w:sectPr>
          <w:headerReference w:type="even" r:id="rId62"/>
          <w:headerReference w:type="default" r:id="rId63"/>
          <w:pgSz w:w="10780" w:h="15090"/>
          <w:pgMar w:top="1260" w:right="1460" w:bottom="1400" w:left="1480" w:header="1029" w:footer="1217"/>
          <w:cols w:space="708"/>
        </w:sectPr>
      </w:pPr>
    </w:p>
    <w:p>
      <w:pPr>
        <w:pStyle w:val="BodyText"/>
        <w:rPr>
          <w:sz w:val="20"/>
        </w:rPr>
      </w:pPr>
    </w:p>
    <w:p>
      <w:pPr>
        <w:pStyle w:val="BodyText"/>
        <w:spacing w:before="7"/>
        <w:rPr>
          <w:sz w:val="18"/>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775"/>
        <w:gridCol w:w="6425"/>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731"/>
          <w:jc w:val="left"/>
        </w:trPr>
        <w:tc>
          <w:tcPr>
            <w:tcW w:w="775" w:type="dxa"/>
          </w:tcPr>
          <w:p>
            <w:pPr>
              <w:pStyle w:val="TableParagraph"/>
              <w:spacing w:before="12" w:line="320" w:lineRule="atLeast"/>
              <w:ind w:left="185" w:right="172"/>
              <w:rPr>
                <w:sz w:val="20"/>
              </w:rPr>
            </w:pPr>
            <w:r>
              <w:rPr>
                <w:color w:val="231F20"/>
                <w:sz w:val="20"/>
              </w:rPr>
              <w:t>素养水平</w:t>
            </w:r>
          </w:p>
        </w:tc>
        <w:tc>
          <w:tcPr>
            <w:tcW w:w="6425" w:type="dxa"/>
          </w:tcPr>
          <w:p>
            <w:pPr>
              <w:pStyle w:val="TableParagraph"/>
              <w:spacing w:before="5"/>
              <w:rPr>
                <w:sz w:val="18"/>
              </w:rPr>
            </w:pPr>
          </w:p>
          <w:p>
            <w:pPr>
              <w:pStyle w:val="TableParagraph"/>
              <w:ind w:left="2390" w:right="2379"/>
              <w:jc w:val="center"/>
              <w:rPr>
                <w:sz w:val="20"/>
              </w:rPr>
            </w:pPr>
            <w:r>
              <w:rPr>
                <w:color w:val="231F20"/>
                <w:sz w:val="20"/>
              </w:rPr>
              <w:t>素养4 ：社会责任</w:t>
            </w:r>
          </w:p>
        </w:tc>
      </w:tr>
      <w:tr>
        <w:tblPrEx>
          <w:tblW w:w="0" w:type="auto"/>
          <w:jc w:val="left"/>
          <w:tblInd w:w="235" w:type="dxa"/>
          <w:tblLayout w:type="fixed"/>
          <w:tblCellMar>
            <w:top w:w="0" w:type="dxa"/>
            <w:left w:w="0" w:type="dxa"/>
            <w:bottom w:w="0" w:type="dxa"/>
            <w:right w:w="0" w:type="dxa"/>
          </w:tblCellMar>
          <w:tblLook w:val="01E0"/>
        </w:tblPrEx>
        <w:trPr>
          <w:trHeight w:val="751"/>
          <w:jc w:val="left"/>
        </w:trPr>
        <w:tc>
          <w:tcPr>
            <w:tcW w:w="775" w:type="dxa"/>
          </w:tcPr>
          <w:p>
            <w:pPr>
              <w:pStyle w:val="TableParagraph"/>
              <w:spacing w:before="86" w:line="300" w:lineRule="auto"/>
              <w:ind w:left="285" w:right="172" w:hanging="100"/>
              <w:rPr>
                <w:sz w:val="20"/>
              </w:rPr>
            </w:pPr>
            <w:r>
              <w:rPr>
                <w:color w:val="231F20"/>
                <w:sz w:val="20"/>
              </w:rPr>
              <w:t>水平一</w:t>
            </w:r>
          </w:p>
        </w:tc>
        <w:tc>
          <w:tcPr>
            <w:tcW w:w="6425" w:type="dxa"/>
          </w:tcPr>
          <w:p>
            <w:pPr>
              <w:pStyle w:val="TableParagraph"/>
              <w:spacing w:before="86" w:line="300" w:lineRule="auto"/>
              <w:ind w:left="111" w:right="106"/>
              <w:rPr>
                <w:sz w:val="20"/>
              </w:rPr>
            </w:pPr>
            <w:r>
              <w:rPr>
                <w:color w:val="231F20"/>
                <w:spacing w:val="-10"/>
                <w:sz w:val="20"/>
              </w:rPr>
              <w:t>知道社会热点中的生物学议题；认同健康文明的生活方式，珍爱生命，远离毒品；认同环境保护的必要性和重要性，认同地球是人类唯一的家园。</w:t>
            </w:r>
          </w:p>
        </w:tc>
      </w:tr>
      <w:tr>
        <w:tblPrEx>
          <w:tblW w:w="0" w:type="auto"/>
          <w:jc w:val="left"/>
          <w:tblInd w:w="23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关注并参与社会热点中的生物学议题的讨论；接受科学、健康文明的生</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65" w:right="154"/>
              <w:jc w:val="center"/>
              <w:rPr>
                <w:sz w:val="20"/>
              </w:rPr>
            </w:pPr>
            <w:r>
              <w:rPr>
                <w:color w:val="231F20"/>
                <w:sz w:val="20"/>
              </w:rPr>
              <w:t>水平</w:t>
            </w:r>
          </w:p>
        </w:tc>
        <w:tc>
          <w:tcPr>
            <w:tcW w:w="6425" w:type="dxa"/>
            <w:tcBorders>
              <w:top w:val="nil"/>
              <w:bottom w:val="nil"/>
            </w:tcBorders>
          </w:tcPr>
          <w:p>
            <w:pPr>
              <w:pStyle w:val="TableParagraph"/>
              <w:spacing w:before="23"/>
              <w:ind w:left="111"/>
              <w:rPr>
                <w:sz w:val="20"/>
              </w:rPr>
            </w:pPr>
            <w:r>
              <w:rPr>
                <w:color w:val="231F20"/>
                <w:sz w:val="20"/>
              </w:rPr>
              <w:t>活建议，珍爱生命，远离毒品；了解传染病的危害与防控知识；养成环</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775" w:type="dxa"/>
            <w:tcBorders>
              <w:top w:val="nil"/>
              <w:bottom w:val="nil"/>
            </w:tcBorders>
          </w:tcPr>
          <w:p>
            <w:pPr>
              <w:pStyle w:val="TableParagraph"/>
              <w:spacing w:before="23"/>
              <w:ind w:left="11"/>
              <w:jc w:val="center"/>
              <w:rPr>
                <w:sz w:val="20"/>
              </w:rPr>
            </w:pPr>
            <w:r>
              <w:rPr>
                <w:color w:val="231F20"/>
                <w:sz w:val="20"/>
              </w:rPr>
              <w:t>二</w:t>
            </w:r>
          </w:p>
        </w:tc>
        <w:tc>
          <w:tcPr>
            <w:tcW w:w="6425" w:type="dxa"/>
            <w:tcBorders>
              <w:top w:val="nil"/>
              <w:bottom w:val="nil"/>
            </w:tcBorders>
          </w:tcPr>
          <w:p>
            <w:pPr>
              <w:pStyle w:val="TableParagraph"/>
              <w:spacing w:before="23"/>
              <w:ind w:left="111"/>
              <w:rPr>
                <w:sz w:val="20"/>
              </w:rPr>
            </w:pPr>
            <w:r>
              <w:rPr>
                <w:color w:val="231F20"/>
                <w:sz w:val="20"/>
              </w:rPr>
              <w:t>保意识与行为，参与绿色家庭、绿色学校、绿色社区等行动；关注生物</w:t>
            </w:r>
          </w:p>
        </w:tc>
      </w:tr>
      <w:tr>
        <w:tblPrEx>
          <w:tblW w:w="0" w:type="auto"/>
          <w:jc w:val="left"/>
          <w:tblInd w:w="235" w:type="dxa"/>
          <w:tblLayout w:type="fixed"/>
          <w:tblCellMar>
            <w:top w:w="0" w:type="dxa"/>
            <w:left w:w="0" w:type="dxa"/>
            <w:bottom w:w="0" w:type="dxa"/>
            <w:right w:w="0" w:type="dxa"/>
          </w:tblCellMar>
          <w:tblLook w:val="01E0"/>
        </w:tblPrEx>
        <w:trPr>
          <w:trHeight w:val="358"/>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学技术在生产生活中的应用。</w:t>
            </w:r>
          </w:p>
        </w:tc>
      </w:tr>
      <w:tr>
        <w:tblPrEx>
          <w:tblW w:w="0" w:type="auto"/>
          <w:jc w:val="left"/>
          <w:tblInd w:w="23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基于生物学的基本观点，辨别迷信和伪科学；制订适合自己的健康生活</w:t>
            </w:r>
          </w:p>
        </w:tc>
      </w:tr>
      <w:tr>
        <w:tblPrEx>
          <w:tblW w:w="0" w:type="auto"/>
          <w:jc w:val="left"/>
          <w:tblInd w:w="235" w:type="dxa"/>
          <w:tblLayout w:type="fixed"/>
          <w:tblCellMar>
            <w:top w:w="0" w:type="dxa"/>
            <w:left w:w="0" w:type="dxa"/>
            <w:bottom w:w="0" w:type="dxa"/>
            <w:right w:w="0" w:type="dxa"/>
          </w:tblCellMar>
          <w:tblLook w:val="01E0"/>
        </w:tblPrEx>
        <w:trPr>
          <w:trHeight w:val="960"/>
          <w:jc w:val="left"/>
        </w:trPr>
        <w:tc>
          <w:tcPr>
            <w:tcW w:w="775" w:type="dxa"/>
            <w:tcBorders>
              <w:top w:val="nil"/>
              <w:bottom w:val="nil"/>
            </w:tcBorders>
          </w:tcPr>
          <w:p>
            <w:pPr>
              <w:pStyle w:val="TableParagraph"/>
              <w:spacing w:before="183" w:line="300" w:lineRule="auto"/>
              <w:ind w:left="285" w:right="172" w:hanging="100"/>
              <w:rPr>
                <w:sz w:val="20"/>
              </w:rPr>
            </w:pPr>
            <w:r>
              <w:rPr>
                <w:color w:val="231F20"/>
                <w:sz w:val="20"/>
              </w:rPr>
              <w:t>水平三</w:t>
            </w:r>
          </w:p>
        </w:tc>
        <w:tc>
          <w:tcPr>
            <w:tcW w:w="6425" w:type="dxa"/>
            <w:tcBorders>
              <w:top w:val="nil"/>
              <w:bottom w:val="nil"/>
            </w:tcBorders>
          </w:tcPr>
          <w:p>
            <w:pPr>
              <w:pStyle w:val="TableParagraph"/>
              <w:spacing w:before="23" w:line="300" w:lineRule="auto"/>
              <w:ind w:left="111" w:right="98"/>
              <w:rPr>
                <w:sz w:val="20"/>
              </w:rPr>
            </w:pPr>
            <w:r>
              <w:rPr>
                <w:color w:val="231F20"/>
                <w:spacing w:val="-1"/>
                <w:sz w:val="20"/>
              </w:rPr>
              <w:t>计划；珍爱生命，远离毒品；主动运用传染病的相关防控知识保护自身</w:t>
            </w:r>
            <w:r>
              <w:rPr>
                <w:color w:val="231F20"/>
                <w:spacing w:val="-2"/>
                <w:sz w:val="20"/>
              </w:rPr>
              <w:t>健康；参与社区生物多样性保护以及环保活动的宣传和实践，积极参与</w:t>
            </w:r>
          </w:p>
          <w:p>
            <w:pPr>
              <w:pStyle w:val="TableParagraph"/>
              <w:spacing w:line="256" w:lineRule="exact"/>
              <w:ind w:left="111"/>
              <w:rPr>
                <w:sz w:val="20"/>
              </w:rPr>
            </w:pPr>
            <w:r>
              <w:rPr>
                <w:color w:val="231F20"/>
                <w:spacing w:val="-1"/>
                <w:sz w:val="20"/>
              </w:rPr>
              <w:t>绿色家庭、绿色学校、绿色社区等行动；具有通过科学实践解决生活中</w:t>
            </w:r>
          </w:p>
        </w:tc>
      </w:tr>
      <w:tr>
        <w:tblPrEx>
          <w:tblW w:w="0" w:type="auto"/>
          <w:jc w:val="left"/>
          <w:tblInd w:w="235" w:type="dxa"/>
          <w:tblLayout w:type="fixed"/>
          <w:tblCellMar>
            <w:top w:w="0" w:type="dxa"/>
            <w:left w:w="0" w:type="dxa"/>
            <w:bottom w:w="0" w:type="dxa"/>
            <w:right w:w="0" w:type="dxa"/>
          </w:tblCellMar>
          <w:tblLook w:val="01E0"/>
        </w:tblPrEx>
        <w:trPr>
          <w:trHeight w:val="358"/>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问题的意识和想法。</w:t>
            </w:r>
          </w:p>
        </w:tc>
      </w:tr>
      <w:tr>
        <w:tblPrEx>
          <w:tblW w:w="0" w:type="auto"/>
          <w:jc w:val="left"/>
          <w:tblInd w:w="235" w:type="dxa"/>
          <w:tblLayout w:type="fixed"/>
          <w:tblCellMar>
            <w:top w:w="0" w:type="dxa"/>
            <w:left w:w="0" w:type="dxa"/>
            <w:bottom w:w="0" w:type="dxa"/>
            <w:right w:w="0" w:type="dxa"/>
          </w:tblCellMar>
          <w:tblLook w:val="01E0"/>
        </w:tblPrEx>
        <w:trPr>
          <w:trHeight w:val="373"/>
          <w:jc w:val="left"/>
        </w:trPr>
        <w:tc>
          <w:tcPr>
            <w:tcW w:w="775" w:type="dxa"/>
            <w:tcBorders>
              <w:bottom w:val="nil"/>
            </w:tcBorders>
          </w:tcPr>
          <w:p>
            <w:pPr>
              <w:pStyle w:val="TableParagraph"/>
              <w:rPr>
                <w:rFonts w:ascii="Times New Roman"/>
                <w:sz w:val="20"/>
              </w:rPr>
            </w:pPr>
          </w:p>
        </w:tc>
        <w:tc>
          <w:tcPr>
            <w:tcW w:w="6425" w:type="dxa"/>
            <w:tcBorders>
              <w:bottom w:val="nil"/>
            </w:tcBorders>
          </w:tcPr>
          <w:p>
            <w:pPr>
              <w:pStyle w:val="TableParagraph"/>
              <w:spacing w:before="76"/>
              <w:ind w:left="111"/>
              <w:rPr>
                <w:sz w:val="20"/>
              </w:rPr>
            </w:pPr>
            <w:r>
              <w:rPr>
                <w:color w:val="231F20"/>
                <w:sz w:val="20"/>
              </w:rPr>
              <w:t>针对现代生物技术在社会生活中的应用，基于生物学的基本观点，辨别</w:t>
            </w:r>
          </w:p>
        </w:tc>
      </w:tr>
      <w:tr>
        <w:tblPrEx>
          <w:tblW w:w="0" w:type="auto"/>
          <w:jc w:val="left"/>
          <w:tblInd w:w="235" w:type="dxa"/>
          <w:tblLayout w:type="fixed"/>
          <w:tblCellMar>
            <w:top w:w="0" w:type="dxa"/>
            <w:left w:w="0" w:type="dxa"/>
            <w:bottom w:w="0" w:type="dxa"/>
            <w:right w:w="0" w:type="dxa"/>
          </w:tblCellMar>
          <w:tblLook w:val="01E0"/>
        </w:tblPrEx>
        <w:trPr>
          <w:trHeight w:val="960"/>
          <w:jc w:val="left"/>
        </w:trPr>
        <w:tc>
          <w:tcPr>
            <w:tcW w:w="775" w:type="dxa"/>
            <w:tcBorders>
              <w:top w:val="nil"/>
              <w:bottom w:val="nil"/>
            </w:tcBorders>
          </w:tcPr>
          <w:p>
            <w:pPr>
              <w:pStyle w:val="TableParagraph"/>
              <w:spacing w:before="183" w:line="300" w:lineRule="auto"/>
              <w:ind w:left="285" w:right="172" w:hanging="100"/>
              <w:rPr>
                <w:sz w:val="20"/>
              </w:rPr>
            </w:pPr>
            <w:r>
              <w:rPr>
                <w:color w:val="231F20"/>
                <w:sz w:val="20"/>
              </w:rPr>
              <w:t>水平四</w:t>
            </w:r>
          </w:p>
        </w:tc>
        <w:tc>
          <w:tcPr>
            <w:tcW w:w="6425" w:type="dxa"/>
            <w:tcBorders>
              <w:top w:val="nil"/>
              <w:bottom w:val="nil"/>
            </w:tcBorders>
          </w:tcPr>
          <w:p>
            <w:pPr>
              <w:pStyle w:val="TableParagraph"/>
              <w:spacing w:before="23" w:line="300" w:lineRule="auto"/>
              <w:ind w:left="111" w:right="98"/>
              <w:rPr>
                <w:sz w:val="20"/>
              </w:rPr>
            </w:pPr>
            <w:r>
              <w:rPr>
                <w:color w:val="231F20"/>
                <w:spacing w:val="-1"/>
                <w:sz w:val="20"/>
              </w:rPr>
              <w:t>并揭穿伪科学；制订并践行健康生活计划；向他人宣传毒品的危害及传</w:t>
            </w:r>
            <w:r>
              <w:rPr>
                <w:color w:val="231F20"/>
                <w:spacing w:val="-2"/>
                <w:sz w:val="20"/>
              </w:rPr>
              <w:t>染病的防控措施；参与当地环保建议的讨论，积极参与绿色家庭、绿色</w:t>
            </w:r>
          </w:p>
          <w:p>
            <w:pPr>
              <w:pStyle w:val="TableParagraph"/>
              <w:spacing w:line="256" w:lineRule="exact"/>
              <w:ind w:left="111"/>
              <w:rPr>
                <w:sz w:val="20"/>
              </w:rPr>
            </w:pPr>
            <w:r>
              <w:rPr>
                <w:color w:val="231F20"/>
                <w:spacing w:val="-1"/>
                <w:sz w:val="20"/>
              </w:rPr>
              <w:t>学校、绿色社区等行动；能通过科学实践，尝试解决现实生活中的生物</w:t>
            </w:r>
          </w:p>
        </w:tc>
      </w:tr>
      <w:tr>
        <w:tblPrEx>
          <w:tblW w:w="0" w:type="auto"/>
          <w:jc w:val="left"/>
          <w:tblInd w:w="235" w:type="dxa"/>
          <w:tblLayout w:type="fixed"/>
          <w:tblCellMar>
            <w:top w:w="0" w:type="dxa"/>
            <w:left w:w="0" w:type="dxa"/>
            <w:bottom w:w="0" w:type="dxa"/>
            <w:right w:w="0" w:type="dxa"/>
          </w:tblCellMar>
          <w:tblLook w:val="01E0"/>
        </w:tblPrEx>
        <w:trPr>
          <w:trHeight w:val="358"/>
          <w:jc w:val="left"/>
        </w:trPr>
        <w:tc>
          <w:tcPr>
            <w:tcW w:w="775" w:type="dxa"/>
            <w:tcBorders>
              <w:top w:val="nil"/>
            </w:tcBorders>
          </w:tcPr>
          <w:p>
            <w:pPr>
              <w:pStyle w:val="TableParagraph"/>
              <w:rPr>
                <w:rFonts w:ascii="Times New Roman"/>
                <w:sz w:val="20"/>
              </w:rPr>
            </w:pPr>
          </w:p>
        </w:tc>
        <w:tc>
          <w:tcPr>
            <w:tcW w:w="6425" w:type="dxa"/>
            <w:tcBorders>
              <w:top w:val="nil"/>
            </w:tcBorders>
          </w:tcPr>
          <w:p>
            <w:pPr>
              <w:pStyle w:val="TableParagraph"/>
              <w:spacing w:before="23"/>
              <w:ind w:left="111"/>
              <w:rPr>
                <w:sz w:val="20"/>
              </w:rPr>
            </w:pPr>
            <w:r>
              <w:rPr>
                <w:color w:val="231F20"/>
                <w:sz w:val="20"/>
              </w:rPr>
              <w:t>学问题。</w:t>
            </w:r>
          </w:p>
        </w:tc>
      </w:tr>
    </w:tbl>
    <w:p>
      <w:pPr>
        <w:spacing w:after="0"/>
        <w:rPr>
          <w:sz w:val="20"/>
        </w:rPr>
        <w:sectPr>
          <w:footerReference w:type="even" r:id="rId64"/>
          <w:footerReference w:type="default" r:id="rId65"/>
          <w:pgSz w:w="10780" w:h="15090"/>
          <w:pgMar w:top="1260" w:right="1460" w:bottom="1400" w:left="1480" w:header="1029" w:footer="1217"/>
          <w:pgNumType w:start="76"/>
          <w:cols w:space="708"/>
        </w:sectPr>
      </w:pPr>
    </w:p>
    <w:p>
      <w:pPr>
        <w:pStyle w:val="BodyText"/>
        <w:spacing w:before="10"/>
        <w:rPr>
          <w:sz w:val="28"/>
        </w:rPr>
      </w:pPr>
    </w:p>
    <w:p>
      <w:pPr>
        <w:tabs>
          <w:tab w:val="left" w:pos="1309"/>
        </w:tabs>
        <w:spacing w:before="70"/>
        <w:ind w:left="150" w:right="0" w:firstLine="0"/>
        <w:jc w:val="center"/>
        <w:rPr>
          <w:sz w:val="32"/>
        </w:rPr>
      </w:pPr>
      <w:r>
        <w:rPr>
          <w:color w:val="231F20"/>
          <w:sz w:val="32"/>
        </w:rPr>
        <w:t>附</w:t>
      </w:r>
      <w:r>
        <w:rPr>
          <w:color w:val="231F20"/>
          <w:spacing w:val="40"/>
          <w:sz w:val="32"/>
        </w:rPr>
        <w:t>录</w:t>
      </w:r>
      <w:r>
        <w:rPr>
          <w:rFonts w:ascii="Times New Roman" w:eastAsia="Times New Roman"/>
          <w:color w:val="231F20"/>
          <w:sz w:val="32"/>
        </w:rPr>
        <w:t>2</w:t>
        <w:tab/>
      </w:r>
      <w:r>
        <w:rPr>
          <w:color w:val="231F20"/>
          <w:sz w:val="32"/>
        </w:rPr>
        <w:t>教学与评价案例</w:t>
      </w:r>
    </w:p>
    <w:p>
      <w:pPr>
        <w:pStyle w:val="BodyText"/>
        <w:spacing w:before="9"/>
        <w:rPr>
          <w:sz w:val="27"/>
        </w:rPr>
      </w:pPr>
    </w:p>
    <w:p>
      <w:pPr>
        <w:spacing w:before="0"/>
        <w:ind w:left="150" w:right="0" w:firstLine="0"/>
        <w:jc w:val="center"/>
        <w:rPr>
          <w:sz w:val="21"/>
        </w:rPr>
      </w:pPr>
      <w:r>
        <w:rPr>
          <w:color w:val="231F20"/>
          <w:sz w:val="21"/>
        </w:rPr>
        <w:t>案例</w:t>
      </w:r>
      <w:r>
        <w:rPr>
          <w:rFonts w:ascii="Times New Roman" w:eastAsia="Times New Roman" w:hAnsi="Times New Roman"/>
          <w:b/>
          <w:color w:val="231F20"/>
          <w:sz w:val="21"/>
        </w:rPr>
        <w:t xml:space="preserve">1 </w:t>
      </w:r>
      <w:r>
        <w:rPr>
          <w:color w:val="231F20"/>
          <w:sz w:val="21"/>
        </w:rPr>
        <w:t>“生态系统的稳定性”教学目标的制订</w:t>
      </w:r>
    </w:p>
    <w:p>
      <w:pPr>
        <w:pStyle w:val="BodyText"/>
        <w:spacing w:before="1"/>
        <w:rPr>
          <w:sz w:val="18"/>
        </w:rPr>
      </w:pPr>
    </w:p>
    <w:p>
      <w:pPr>
        <w:pStyle w:val="ListParagraph"/>
        <w:numPr>
          <w:ilvl w:val="1"/>
          <w:numId w:val="6"/>
        </w:numPr>
        <w:tabs>
          <w:tab w:val="left" w:pos="1179"/>
        </w:tabs>
        <w:spacing w:before="0" w:after="0" w:line="328" w:lineRule="auto"/>
        <w:ind w:left="390" w:right="231" w:firstLine="480"/>
        <w:jc w:val="both"/>
        <w:rPr>
          <w:sz w:val="24"/>
        </w:rPr>
      </w:pPr>
      <w:r>
        <w:rPr>
          <w:color w:val="231F20"/>
          <w:spacing w:val="5"/>
          <w:sz w:val="24"/>
        </w:rPr>
        <w:t>通过对案例的分析讨论，能用物质和能量的输入和输出平衡</w:t>
      </w:r>
      <w:r>
        <w:rPr>
          <w:color w:val="231F20"/>
          <w:sz w:val="24"/>
        </w:rPr>
        <w:t>观点，认识具体生态系统的稳定性。</w:t>
      </w:r>
    </w:p>
    <w:p>
      <w:pPr>
        <w:pStyle w:val="ListParagraph"/>
        <w:numPr>
          <w:ilvl w:val="1"/>
          <w:numId w:val="6"/>
        </w:numPr>
        <w:tabs>
          <w:tab w:val="left" w:pos="1179"/>
        </w:tabs>
        <w:spacing w:before="0" w:after="0" w:line="328" w:lineRule="auto"/>
        <w:ind w:left="390" w:right="219" w:firstLine="480"/>
        <w:jc w:val="both"/>
        <w:rPr>
          <w:sz w:val="24"/>
        </w:rPr>
      </w:pPr>
      <w:r>
        <w:rPr>
          <w:color w:val="231F20"/>
          <w:spacing w:val="6"/>
          <w:sz w:val="24"/>
        </w:rPr>
        <w:t>通过对生态系统各种成分功能和营养结构关系的讨论，以及</w:t>
      </w:r>
      <w:r>
        <w:rPr>
          <w:color w:val="231F20"/>
          <w:spacing w:val="14"/>
          <w:sz w:val="24"/>
        </w:rPr>
        <w:t>运用反馈调节原理，能初步判断不同生态系统维持其稳定性的相</w:t>
      </w:r>
      <w:r>
        <w:rPr>
          <w:color w:val="231F20"/>
          <w:spacing w:val="12"/>
          <w:sz w:val="24"/>
        </w:rPr>
        <w:t>对能力。</w:t>
      </w:r>
    </w:p>
    <w:p>
      <w:pPr>
        <w:pStyle w:val="ListParagraph"/>
        <w:numPr>
          <w:ilvl w:val="1"/>
          <w:numId w:val="6"/>
        </w:numPr>
        <w:tabs>
          <w:tab w:val="left" w:pos="1179"/>
        </w:tabs>
        <w:spacing w:before="0" w:after="0" w:line="328" w:lineRule="auto"/>
        <w:ind w:left="390" w:right="231" w:firstLine="480"/>
        <w:jc w:val="both"/>
        <w:rPr>
          <w:sz w:val="24"/>
        </w:rPr>
      </w:pPr>
      <w:r>
        <w:rPr>
          <w:color w:val="231F20"/>
          <w:spacing w:val="5"/>
          <w:sz w:val="24"/>
        </w:rPr>
        <w:t>能够根据生态系统各种成分、结构以及数量关系构建稳定性</w:t>
      </w:r>
      <w:r>
        <w:rPr>
          <w:color w:val="231F20"/>
          <w:sz w:val="24"/>
        </w:rPr>
        <w:t>生态系统模型，并制作简易生态瓶。</w:t>
      </w:r>
    </w:p>
    <w:p>
      <w:pPr>
        <w:pStyle w:val="ListParagraph"/>
        <w:numPr>
          <w:ilvl w:val="1"/>
          <w:numId w:val="6"/>
        </w:numPr>
        <w:tabs>
          <w:tab w:val="left" w:pos="1172"/>
        </w:tabs>
        <w:spacing w:before="0" w:after="0" w:line="328" w:lineRule="auto"/>
        <w:ind w:left="390" w:right="248" w:firstLine="480"/>
        <w:jc w:val="both"/>
        <w:rPr>
          <w:sz w:val="24"/>
        </w:rPr>
      </w:pPr>
      <w:r>
        <w:rPr>
          <w:color w:val="231F20"/>
          <w:spacing w:val="-12"/>
          <w:sz w:val="24"/>
        </w:rPr>
        <w:t>能够为常见生态系统的合理利用和维持可持续发展提出有价值的建议。</w:t>
      </w:r>
    </w:p>
    <w:p>
      <w:pPr>
        <w:pStyle w:val="BodyText"/>
        <w:spacing w:before="11"/>
        <w:rPr>
          <w:sz w:val="31"/>
        </w:rPr>
      </w:pPr>
    </w:p>
    <w:p>
      <w:pPr>
        <w:pStyle w:val="BodyText"/>
        <w:tabs>
          <w:tab w:val="left" w:pos="2119"/>
        </w:tabs>
        <w:spacing w:line="328" w:lineRule="auto"/>
        <w:ind w:left="390" w:right="119" w:firstLine="479"/>
      </w:pPr>
      <w:r>
        <w:rPr>
          <w:color w:val="231F20"/>
          <w:position w:val="1"/>
          <w:sz w:val="21"/>
        </w:rPr>
        <w:t>案</w:t>
      </w:r>
      <w:r>
        <w:rPr>
          <w:color w:val="231F20"/>
          <w:spacing w:val="27"/>
          <w:position w:val="1"/>
          <w:sz w:val="21"/>
        </w:rPr>
        <w:t>例</w:t>
      </w:r>
      <w:r>
        <w:rPr>
          <w:rFonts w:ascii="Times New Roman" w:eastAsia="Times New Roman"/>
          <w:b/>
          <w:color w:val="231F20"/>
          <w:position w:val="1"/>
          <w:sz w:val="21"/>
        </w:rPr>
        <w:t>1</w:t>
      </w:r>
      <w:r>
        <w:rPr>
          <w:rFonts w:ascii="Times New Roman" w:eastAsia="Times New Roman"/>
          <w:b/>
          <w:color w:val="231F20"/>
          <w:spacing w:val="-26"/>
          <w:position w:val="1"/>
          <w:sz w:val="21"/>
        </w:rPr>
        <w:t xml:space="preserve"> </w:t>
      </w:r>
      <w:r>
        <w:rPr>
          <w:color w:val="231F20"/>
          <w:position w:val="1"/>
          <w:sz w:val="21"/>
        </w:rPr>
        <w:t>评析</w:t>
        <w:tab/>
      </w:r>
      <w:r>
        <w:rPr>
          <w:color w:val="231F20"/>
          <w:spacing w:val="3"/>
        </w:rPr>
        <w:t>养成生物学学科核心素养是本课程学习的宏观目</w:t>
      </w:r>
      <w:r>
        <w:rPr>
          <w:color w:val="231F20"/>
        </w:rPr>
        <w:t>标。教师在备课时，要根据实际上课具体内容，确定每个课时的具体教学目标。习惯了以三维目标来描述教学要求和意图，教师在对应核心素养制订教学目标时</w:t>
      </w:r>
      <w:r>
        <w:rPr>
          <w:color w:val="231F20"/>
          <w:spacing w:val="-12"/>
        </w:rPr>
        <w:t>或许会感到困惑。本案例旨在示范如何依据核心素</w:t>
      </w:r>
      <w:r>
        <w:rPr>
          <w:color w:val="231F20"/>
        </w:rPr>
        <w:t>养</w:t>
      </w:r>
      <w:r>
        <w:rPr>
          <w:color w:val="231F20"/>
          <w:spacing w:val="-12"/>
        </w:rPr>
        <w:t>来制订一节课的教学目标。</w:t>
      </w:r>
    </w:p>
    <w:p>
      <w:pPr>
        <w:pStyle w:val="BodyText"/>
        <w:spacing w:line="328" w:lineRule="auto"/>
        <w:ind w:left="390" w:right="226" w:firstLine="480"/>
      </w:pPr>
      <w:r>
        <w:rPr>
          <w:color w:val="231F20"/>
        </w:rPr>
        <w:t>案例中的教学目标，是依据内容要求、学业要求和学业质量标准，围绕培养学生核心素养的要求制订的。目标</w:t>
      </w:r>
      <w:r>
        <w:rPr>
          <w:rFonts w:ascii="Times New Roman" w:eastAsia="Times New Roman" w:hAnsi="Times New Roman"/>
          <w:color w:val="231F20"/>
        </w:rPr>
        <w:t xml:space="preserve">1 </w:t>
      </w:r>
      <w:r>
        <w:rPr>
          <w:color w:val="231F20"/>
        </w:rPr>
        <w:t>着重体现了“生命</w:t>
      </w:r>
    </w:p>
    <w:p>
      <w:pPr>
        <w:pStyle w:val="BodyText"/>
        <w:spacing w:line="328" w:lineRule="auto"/>
        <w:ind w:left="390" w:right="238"/>
        <w:jc w:val="both"/>
      </w:pPr>
      <w:r>
        <w:rPr>
          <w:color w:val="231F20"/>
          <w:spacing w:val="9"/>
        </w:rPr>
        <w:t>观念”的要素；目标</w:t>
      </w:r>
      <w:r>
        <w:rPr>
          <w:rFonts w:ascii="Times New Roman" w:eastAsia="Times New Roman" w:hAnsi="Times New Roman"/>
          <w:color w:val="231F20"/>
        </w:rPr>
        <w:t xml:space="preserve">2 </w:t>
      </w:r>
      <w:r>
        <w:rPr>
          <w:color w:val="231F20"/>
          <w:spacing w:val="7"/>
        </w:rPr>
        <w:t>着重反映了“科学思维”的要素；目标</w:t>
      </w:r>
      <w:r>
        <w:rPr>
          <w:rFonts w:ascii="Times New Roman" w:eastAsia="Times New Roman" w:hAnsi="Times New Roman"/>
          <w:color w:val="231F20"/>
        </w:rPr>
        <w:t xml:space="preserve">3 </w:t>
      </w:r>
      <w:r>
        <w:rPr>
          <w:color w:val="231F20"/>
          <w:spacing w:val="33"/>
        </w:rPr>
        <w:t>和</w:t>
      </w:r>
      <w:r>
        <w:rPr>
          <w:rFonts w:ascii="Times New Roman" w:eastAsia="Times New Roman" w:hAnsi="Times New Roman"/>
          <w:color w:val="231F20"/>
          <w:spacing w:val="-12"/>
        </w:rPr>
        <w:t xml:space="preserve">4 </w:t>
      </w:r>
      <w:r>
        <w:rPr>
          <w:color w:val="231F20"/>
          <w:spacing w:val="-4"/>
        </w:rPr>
        <w:t>分别着重指向“科学探究”和“社会责任”。这四个目标之间相互也</w:t>
      </w:r>
      <w:r>
        <w:rPr>
          <w:color w:val="231F20"/>
          <w:spacing w:val="-1"/>
        </w:rPr>
        <w:t>有交叉，每个目标中可能还含有对其他素养的要求。核心素养几个要素的协调发展是学生品格和认识问题、解决问题能力的具体表现，是</w:t>
      </w:r>
      <w:r>
        <w:rPr>
          <w:color w:val="231F20"/>
        </w:rPr>
        <w:t>制订教学目标的出发点和课堂教学活动实施的落脚点。</w:t>
      </w:r>
    </w:p>
    <w:p>
      <w:pPr>
        <w:spacing w:after="0" w:line="328" w:lineRule="auto"/>
        <w:jc w:val="both"/>
        <w:sectPr>
          <w:pgSz w:w="10780" w:h="15090"/>
          <w:pgMar w:top="1260" w:right="1460" w:bottom="1400" w:left="1480" w:header="989" w:footer="1217"/>
          <w:cols w:space="708"/>
        </w:sectPr>
      </w:pPr>
    </w:p>
    <w:p>
      <w:pPr>
        <w:pStyle w:val="BodyText"/>
        <w:spacing w:before="7"/>
        <w:rPr>
          <w:sz w:val="29"/>
        </w:rPr>
      </w:pPr>
    </w:p>
    <w:p>
      <w:pPr>
        <w:tabs>
          <w:tab w:val="left" w:pos="761"/>
        </w:tabs>
        <w:spacing w:before="86"/>
        <w:ind w:left="0" w:right="188" w:firstLine="0"/>
        <w:jc w:val="center"/>
        <w:rPr>
          <w:sz w:val="21"/>
        </w:rPr>
      </w:pPr>
      <w:r>
        <w:rPr>
          <w:color w:val="231F20"/>
          <w:sz w:val="21"/>
        </w:rPr>
        <w:t>案</w:t>
      </w:r>
      <w:r>
        <w:rPr>
          <w:color w:val="231F20"/>
          <w:spacing w:val="26"/>
          <w:sz w:val="21"/>
        </w:rPr>
        <w:t>例</w:t>
      </w:r>
      <w:r>
        <w:rPr>
          <w:rFonts w:ascii="Times New Roman" w:eastAsia="Times New Roman"/>
          <w:b/>
          <w:i/>
          <w:color w:val="231F20"/>
          <w:sz w:val="21"/>
        </w:rPr>
        <w:t>2</w:t>
        <w:tab/>
      </w:r>
      <w:r>
        <w:rPr>
          <w:color w:val="231F20"/>
          <w:sz w:val="21"/>
        </w:rPr>
        <w:t>筛选分离土壤中尿素分解菌的教学设计</w:t>
      </w:r>
    </w:p>
    <w:p>
      <w:pPr>
        <w:pStyle w:val="BodyText"/>
        <w:spacing w:before="1"/>
        <w:rPr>
          <w:sz w:val="18"/>
        </w:rPr>
      </w:pPr>
    </w:p>
    <w:p>
      <w:pPr>
        <w:pStyle w:val="BodyText"/>
        <w:ind w:left="700"/>
      </w:pPr>
      <w:r>
        <w:rPr>
          <w:color w:val="231F20"/>
        </w:rPr>
        <w:t>一、教学目标</w:t>
      </w:r>
    </w:p>
    <w:p>
      <w:pPr>
        <w:pStyle w:val="ListParagraph"/>
        <w:numPr>
          <w:ilvl w:val="0"/>
          <w:numId w:val="5"/>
        </w:numPr>
        <w:tabs>
          <w:tab w:val="left" w:pos="1001"/>
        </w:tabs>
        <w:spacing w:before="113" w:after="0" w:line="240" w:lineRule="auto"/>
        <w:ind w:left="1000" w:right="0" w:hanging="301"/>
        <w:jc w:val="left"/>
        <w:rPr>
          <w:sz w:val="24"/>
        </w:rPr>
      </w:pPr>
      <w:r>
        <w:rPr>
          <w:color w:val="231F20"/>
          <w:sz w:val="24"/>
        </w:rPr>
        <w:t>能用生物与环境相适应的观点，提出分离目标菌的思路。</w:t>
      </w:r>
    </w:p>
    <w:p>
      <w:pPr>
        <w:pStyle w:val="ListParagraph"/>
        <w:numPr>
          <w:ilvl w:val="0"/>
          <w:numId w:val="5"/>
        </w:numPr>
        <w:tabs>
          <w:tab w:val="left" w:pos="1001"/>
        </w:tabs>
        <w:spacing w:before="112" w:after="0" w:line="240" w:lineRule="auto"/>
        <w:ind w:left="1000" w:right="0" w:hanging="301"/>
        <w:jc w:val="left"/>
        <w:rPr>
          <w:sz w:val="24"/>
        </w:rPr>
      </w:pPr>
      <w:r>
        <w:rPr>
          <w:color w:val="231F20"/>
          <w:sz w:val="24"/>
        </w:rPr>
        <w:t>能按照科学探究的要求设计出分离目标菌的方案。</w:t>
      </w:r>
    </w:p>
    <w:p>
      <w:pPr>
        <w:pStyle w:val="ListParagraph"/>
        <w:numPr>
          <w:ilvl w:val="0"/>
          <w:numId w:val="5"/>
        </w:numPr>
        <w:tabs>
          <w:tab w:val="left" w:pos="1008"/>
        </w:tabs>
        <w:spacing w:before="113" w:after="0" w:line="328" w:lineRule="auto"/>
        <w:ind w:left="220" w:right="401" w:firstLine="480"/>
        <w:jc w:val="left"/>
        <w:rPr>
          <w:sz w:val="24"/>
        </w:rPr>
      </w:pPr>
      <w:r>
        <w:rPr>
          <w:color w:val="231F20"/>
          <w:spacing w:val="5"/>
          <w:sz w:val="24"/>
        </w:rPr>
        <w:t>能依据方案运用无菌操作技术和分离、培养方法初步分离出</w:t>
      </w:r>
      <w:r>
        <w:rPr>
          <w:color w:val="231F20"/>
          <w:sz w:val="24"/>
        </w:rPr>
        <w:t>目标菌。</w:t>
      </w:r>
    </w:p>
    <w:p>
      <w:pPr>
        <w:pStyle w:val="BodyText"/>
        <w:spacing w:line="305" w:lineRule="exact"/>
        <w:ind w:left="700"/>
      </w:pPr>
      <w:r>
        <w:pict>
          <v:group id="_x0000_s1084" style="width:15.25pt;height:4.7pt;margin-top:34.47pt;margin-left:163.96pt;mso-position-horizontal-relative:page;position:absolute;z-index:251691008" coordorigin="3279,689" coordsize="305,94">
            <v:line id="_x0000_s1085" style="position:absolute" from="3279,736" to="3487,736" stroked="t" strokecolor="#231f20" strokeweight="0.57pt">
              <v:stroke dashstyle="solid"/>
            </v:line>
            <v:shape id="_x0000_s1086" style="width:129;height:94;left:3455;position:absolute;top:689" coordorigin="3455,689" coordsize="129,94" path="m3455,689l3487,736,3455,783,3583,736,3455,689xe" filled="t" fillcolor="#231f20" stroked="f">
              <v:fill type="solid"/>
              <v:path arrowok="t"/>
            </v:shape>
          </v:group>
        </w:pict>
      </w:r>
      <w:r>
        <w:pict>
          <v:group id="_x0000_s1087" style="width:15.25pt;height:4.7pt;margin-top:34.47pt;margin-left:234.07pt;mso-position-horizontal-relative:page;position:absolute;z-index:251692032" coordorigin="4681,689" coordsize="305,94">
            <v:line id="_x0000_s1088" style="position:absolute" from="4681,736" to="4889,736" stroked="t" strokecolor="#231f20" strokeweight="0.57pt">
              <v:stroke dashstyle="solid"/>
            </v:line>
            <v:shape id="_x0000_s1089" style="width:129;height:94;left:4857;position:absolute;top:689" coordorigin="4857,689" coordsize="129,94" path="m4857,689l4889,736,4857,783,4986,736,4857,689xe" filled="t" fillcolor="#231f20" stroked="f">
              <v:fill type="solid"/>
              <v:path arrowok="t"/>
            </v:shape>
          </v:group>
        </w:pict>
      </w:r>
      <w:r>
        <w:pict>
          <v:group id="_x0000_s1090" style="width:15.25pt;height:4.7pt;margin-top:34.47pt;margin-left:304.18pt;mso-position-horizontal-relative:page;position:absolute;z-index:251693056" coordorigin="6084,689" coordsize="305,94">
            <v:line id="_x0000_s1091" style="position:absolute" from="6084,736" to="6291,736" stroked="t" strokecolor="#231f20" strokeweight="0.57pt">
              <v:stroke dashstyle="solid"/>
            </v:line>
            <v:shape id="_x0000_s1092" style="width:129;height:94;left:6259;position:absolute;top:689" coordorigin="6260,689" coordsize="129,94" path="m6260,689l6291,736,6260,783,6388,736,6260,689xe" filled="t" fillcolor="#231f20" stroked="f">
              <v:fill type="solid"/>
              <v:path arrowok="t"/>
            </v:shape>
          </v:group>
        </w:pict>
      </w:r>
      <w:r>
        <w:pict>
          <v:group id="_x0000_s1093" style="width:15.25pt;height:4.7pt;margin-top:34.47pt;margin-left:374.29pt;mso-position-horizontal-relative:page;position:absolute;z-index:251694080" coordorigin="7486,689" coordsize="305,94">
            <v:line id="_x0000_s1094" style="position:absolute" from="7486,736" to="7694,736" stroked="t" strokecolor="#231f20" strokeweight="0.57pt">
              <v:stroke dashstyle="solid"/>
            </v:line>
            <v:shape id="_x0000_s1095" style="width:129;height:94;left:7661;position:absolute;top:689" coordorigin="7662,689" coordsize="129,94" path="m7662,689l7694,736,7662,783,7790,736,7662,689xe" filled="t" fillcolor="#231f20" stroked="f">
              <v:fill type="solid"/>
              <v:path arrowok="t"/>
            </v:shape>
          </v:group>
        </w:pict>
      </w:r>
      <w:r>
        <w:rPr>
          <w:color w:val="231F20"/>
        </w:rPr>
        <w:t>二、教学思路</w:t>
      </w:r>
    </w:p>
    <w:p>
      <w:pPr>
        <w:pStyle w:val="BodyText"/>
        <w:spacing w:before="2"/>
        <w:rPr>
          <w:sz w:val="11"/>
        </w:rPr>
      </w:pPr>
      <w:r>
        <w:pict>
          <v:shape id="_x0000_s1096" type="#_x0000_t202" style="width:55.35pt;height:24.3pt;margin-top:9.42pt;margin-left:108.97pt;mso-position-horizontal-relative:page;mso-wrap-distance-left:0;mso-wrap-distance-right:0;position:absolute;z-index:-251631616" filled="f" stroked="t" strokecolor="#231f20" strokeweight="0.57pt">
            <v:stroke dashstyle="solid"/>
            <v:textbox inset="0,0,0,0">
              <w:txbxContent>
                <w:p>
                  <w:pPr>
                    <w:spacing w:before="108"/>
                    <w:ind w:left="179" w:right="0" w:firstLine="0"/>
                    <w:jc w:val="left"/>
                    <w:rPr>
                      <w:sz w:val="20"/>
                    </w:rPr>
                  </w:pPr>
                  <w:r>
                    <w:rPr>
                      <w:color w:val="231F20"/>
                      <w:sz w:val="20"/>
                    </w:rPr>
                    <w:t>提出课题</w:t>
                  </w:r>
                </w:p>
              </w:txbxContent>
            </v:textbox>
            <w10:wrap type="topAndBottom"/>
          </v:shape>
        </w:pict>
      </w:r>
      <w:r>
        <w:pict>
          <v:shape id="_x0000_s1097" type="#_x0000_t202" style="width:55.35pt;height:24.3pt;margin-top:9.42pt;margin-left:179.08pt;mso-position-horizontal-relative:page;mso-wrap-distance-left:0;mso-wrap-distance-right:0;position:absolute;z-index:-251630592" filled="f" stroked="t" strokecolor="#231f20" strokeweight="0.57pt">
            <v:stroke dashstyle="solid"/>
            <v:textbox inset="0,0,0,0">
              <w:txbxContent>
                <w:p>
                  <w:pPr>
                    <w:spacing w:before="108"/>
                    <w:ind w:left="179" w:right="0" w:firstLine="0"/>
                    <w:jc w:val="left"/>
                    <w:rPr>
                      <w:sz w:val="20"/>
                    </w:rPr>
                  </w:pPr>
                  <w:r>
                    <w:rPr>
                      <w:color w:val="231F20"/>
                      <w:sz w:val="20"/>
                    </w:rPr>
                    <w:t>讨论思路</w:t>
                  </w:r>
                </w:p>
              </w:txbxContent>
            </v:textbox>
            <w10:wrap type="topAndBottom"/>
          </v:shape>
        </w:pict>
      </w:r>
      <w:r>
        <w:pict>
          <v:shape id="_x0000_s1098" type="#_x0000_t202" style="width:55.35pt;height:24.3pt;margin-top:9.42pt;margin-left:249.19pt;mso-position-horizontal-relative:page;mso-wrap-distance-left:0;mso-wrap-distance-right:0;position:absolute;z-index:-251629568" filled="f" stroked="t" strokecolor="#231f20" strokeweight="0.57pt">
            <v:stroke dashstyle="solid"/>
            <v:textbox inset="0,0,0,0">
              <w:txbxContent>
                <w:p>
                  <w:pPr>
                    <w:spacing w:before="108"/>
                    <w:ind w:left="179" w:right="0" w:firstLine="0"/>
                    <w:jc w:val="left"/>
                    <w:rPr>
                      <w:sz w:val="20"/>
                    </w:rPr>
                  </w:pPr>
                  <w:r>
                    <w:rPr>
                      <w:color w:val="231F20"/>
                      <w:sz w:val="20"/>
                    </w:rPr>
                    <w:t>设计方案</w:t>
                  </w:r>
                </w:p>
              </w:txbxContent>
            </v:textbox>
            <w10:wrap type="topAndBottom"/>
          </v:shape>
        </w:pict>
      </w:r>
      <w:r>
        <w:pict>
          <v:shape id="_x0000_s1099" type="#_x0000_t202" style="width:55.35pt;height:24.3pt;margin-top:9.42pt;margin-left:319.3pt;mso-position-horizontal-relative:page;mso-wrap-distance-left:0;mso-wrap-distance-right:0;position:absolute;z-index:-251628544" filled="f" stroked="t" strokecolor="#231f20" strokeweight="0.57pt">
            <v:stroke dashstyle="solid"/>
            <v:textbox inset="0,0,0,0">
              <w:txbxContent>
                <w:p>
                  <w:pPr>
                    <w:spacing w:before="108"/>
                    <w:ind w:left="179" w:right="0" w:firstLine="0"/>
                    <w:jc w:val="left"/>
                    <w:rPr>
                      <w:sz w:val="20"/>
                    </w:rPr>
                  </w:pPr>
                  <w:r>
                    <w:rPr>
                      <w:color w:val="231F20"/>
                      <w:sz w:val="20"/>
                    </w:rPr>
                    <w:t>实施方案</w:t>
                  </w:r>
                </w:p>
              </w:txbxContent>
            </v:textbox>
            <w10:wrap type="topAndBottom"/>
          </v:shape>
        </w:pict>
      </w:r>
      <w:r>
        <w:pict>
          <v:shape id="_x0000_s1100" type="#_x0000_t202" style="width:55.35pt;height:24.3pt;margin-top:9.42pt;margin-left:389.41pt;mso-position-horizontal-relative:page;mso-wrap-distance-left:0;mso-wrap-distance-right:0;position:absolute;z-index:-251627520" filled="f" stroked="t" strokecolor="#231f20" strokeweight="0.57pt">
            <v:stroke dashstyle="solid"/>
            <v:textbox inset="0,0,0,0">
              <w:txbxContent>
                <w:p>
                  <w:pPr>
                    <w:spacing w:before="108"/>
                    <w:ind w:left="179" w:right="0" w:firstLine="0"/>
                    <w:jc w:val="left"/>
                    <w:rPr>
                      <w:sz w:val="20"/>
                    </w:rPr>
                  </w:pPr>
                  <w:r>
                    <w:rPr>
                      <w:color w:val="231F20"/>
                      <w:sz w:val="20"/>
                    </w:rPr>
                    <w:t>展示交流</w:t>
                  </w:r>
                </w:p>
              </w:txbxContent>
            </v:textbox>
            <w10:wrap type="topAndBottom"/>
          </v:shape>
        </w:pict>
      </w:r>
    </w:p>
    <w:p>
      <w:pPr>
        <w:pStyle w:val="BodyText"/>
        <w:rPr>
          <w:sz w:val="19"/>
        </w:rPr>
      </w:pPr>
    </w:p>
    <w:p>
      <w:pPr>
        <w:pStyle w:val="BodyText"/>
        <w:ind w:left="700"/>
      </w:pPr>
      <w:r>
        <w:rPr>
          <w:color w:val="231F20"/>
        </w:rPr>
        <w:t>三、教学过程</w:t>
      </w:r>
    </w:p>
    <w:p>
      <w:pPr>
        <w:pStyle w:val="BodyText"/>
        <w:spacing w:before="8"/>
        <w:rPr>
          <w:sz w:val="10"/>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3607"/>
        <w:gridCol w:w="3607"/>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411"/>
          <w:jc w:val="left"/>
        </w:trPr>
        <w:tc>
          <w:tcPr>
            <w:tcW w:w="3607" w:type="dxa"/>
          </w:tcPr>
          <w:p>
            <w:pPr>
              <w:pStyle w:val="TableParagraph"/>
              <w:spacing w:before="76"/>
              <w:ind w:left="71" w:right="60"/>
              <w:jc w:val="center"/>
              <w:rPr>
                <w:sz w:val="20"/>
              </w:rPr>
            </w:pPr>
            <w:r>
              <w:rPr>
                <w:color w:val="231F20"/>
                <w:sz w:val="20"/>
              </w:rPr>
              <w:t>活动任务</w:t>
            </w:r>
          </w:p>
        </w:tc>
        <w:tc>
          <w:tcPr>
            <w:tcW w:w="3607" w:type="dxa"/>
          </w:tcPr>
          <w:p>
            <w:pPr>
              <w:pStyle w:val="TableParagraph"/>
              <w:spacing w:before="76"/>
              <w:ind w:left="71" w:right="60"/>
              <w:jc w:val="center"/>
              <w:rPr>
                <w:sz w:val="20"/>
              </w:rPr>
            </w:pPr>
            <w:r>
              <w:rPr>
                <w:color w:val="231F20"/>
                <w:sz w:val="20"/>
              </w:rPr>
              <w:t>活动目的</w:t>
            </w:r>
          </w:p>
        </w:tc>
      </w:tr>
      <w:tr>
        <w:tblPrEx>
          <w:tblW w:w="0" w:type="auto"/>
          <w:jc w:val="left"/>
          <w:tblInd w:w="235" w:type="dxa"/>
          <w:tblLayout w:type="fixed"/>
          <w:tblCellMar>
            <w:top w:w="0" w:type="dxa"/>
            <w:left w:w="0" w:type="dxa"/>
            <w:bottom w:w="0" w:type="dxa"/>
            <w:right w:w="0" w:type="dxa"/>
          </w:tblCellMar>
          <w:tblLook w:val="01E0"/>
        </w:tblPrEx>
        <w:trPr>
          <w:trHeight w:val="1051"/>
          <w:jc w:val="left"/>
        </w:trPr>
        <w:tc>
          <w:tcPr>
            <w:tcW w:w="3607" w:type="dxa"/>
          </w:tcPr>
          <w:p>
            <w:pPr>
              <w:pStyle w:val="TableParagraph"/>
              <w:spacing w:before="13" w:line="320" w:lineRule="atLeast"/>
              <w:ind w:left="111" w:right="85"/>
              <w:jc w:val="both"/>
              <w:rPr>
                <w:sz w:val="20"/>
              </w:rPr>
            </w:pPr>
            <w:r>
              <w:rPr>
                <w:color w:val="231F20"/>
                <w:sz w:val="20"/>
              </w:rPr>
              <w:t>利用视频或文本介绍几种分离、筛选工程菌种的实例，认识寻找、分离菌种的应用价值，提出课题。</w:t>
            </w:r>
          </w:p>
        </w:tc>
        <w:tc>
          <w:tcPr>
            <w:tcW w:w="3607" w:type="dxa"/>
          </w:tcPr>
          <w:p>
            <w:pPr>
              <w:pStyle w:val="TableParagraph"/>
              <w:spacing w:before="76"/>
              <w:ind w:left="91" w:right="60"/>
              <w:jc w:val="center"/>
              <w:rPr>
                <w:sz w:val="20"/>
              </w:rPr>
            </w:pPr>
            <w:r>
              <w:rPr>
                <w:color w:val="231F20"/>
                <w:sz w:val="20"/>
              </w:rPr>
              <w:t>用真实情境激发学生参与探究的动机。</w:t>
            </w:r>
          </w:p>
        </w:tc>
      </w:tr>
    </w:tbl>
    <w:p>
      <w:pPr>
        <w:pStyle w:val="BodyText"/>
        <w:spacing w:before="6"/>
        <w:rPr>
          <w:sz w:val="6"/>
        </w:rPr>
      </w:pPr>
    </w:p>
    <w:p>
      <w:pPr>
        <w:pStyle w:val="BodyText"/>
        <w:ind w:left="1957"/>
        <w:rPr>
          <w:sz w:val="20"/>
        </w:rPr>
      </w:pPr>
      <w:r>
        <w:rPr>
          <w:sz w:val="20"/>
        </w:rPr>
        <w:drawing>
          <wp:inline distT="0" distB="0" distL="0" distR="0">
            <wp:extent cx="132072" cy="214693"/>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xmlns:r="http://schemas.openxmlformats.org/officeDocument/2006/relationships" r:embed="rId66" cstate="print"/>
                    <a:stretch>
                      <a:fillRect/>
                    </a:stretch>
                  </pic:blipFill>
                  <pic:spPr>
                    <a:xfrm>
                      <a:off x="0" y="0"/>
                      <a:ext cx="132072" cy="214693"/>
                    </a:xfrm>
                    <a:prstGeom prst="rect">
                      <a:avLst/>
                    </a:prstGeom>
                  </pic:spPr>
                </pic:pic>
              </a:graphicData>
            </a:graphic>
          </wp:inline>
        </w:drawing>
      </w:r>
    </w:p>
    <w:p>
      <w:pPr>
        <w:pStyle w:val="BodyText"/>
        <w:spacing w:before="3"/>
        <w:rPr>
          <w:sz w:val="9"/>
        </w:rPr>
      </w:pPr>
      <w:r>
        <w:pict>
          <v:group id="_x0000_s1101" style="width:360.6pt;height:53.95pt;margin-top:7.91pt;margin-left:85.04pt;mso-position-horizontal-relative:page;mso-wrap-distance-left:0;mso-wrap-distance-right:0;position:absolute;z-index:-251626496" coordorigin="1701,158" coordsize="7212,1079">
            <v:shape id="_x0000_s1102" type="#_x0000_t202" style="width:3600;height:1067;left:5306;position:absolute;top:163" filled="f" stroked="t" strokecolor="#58595b" strokeweight="0.57pt">
              <v:stroke dashstyle="solid"/>
              <v:textbox inset="0,0,0,0">
                <w:txbxContent>
                  <w:p>
                    <w:pPr>
                      <w:spacing w:before="78" w:line="300" w:lineRule="auto"/>
                      <w:ind w:left="107" w:right="93" w:firstLine="0"/>
                      <w:jc w:val="left"/>
                      <w:rPr>
                        <w:sz w:val="20"/>
                      </w:rPr>
                    </w:pPr>
                    <w:r>
                      <w:rPr>
                        <w:color w:val="231F20"/>
                        <w:sz w:val="20"/>
                      </w:rPr>
                      <w:t>用生物与环境相适应的观念寻找解决问题的思路。</w:t>
                    </w:r>
                  </w:p>
                </w:txbxContent>
              </v:textbox>
            </v:shape>
            <v:shape id="_x0000_s1103" type="#_x0000_t202" style="width:3600;height:1067;left:1706;position:absolute;top:163" filled="f" stroked="t" strokecolor="#58595b" strokeweight="0.57pt">
              <v:stroke dashstyle="solid"/>
              <v:textbox inset="0,0,0,0">
                <w:txbxContent>
                  <w:p>
                    <w:pPr>
                      <w:spacing w:before="78" w:line="300" w:lineRule="auto"/>
                      <w:ind w:left="107" w:right="91" w:firstLine="0"/>
                      <w:jc w:val="both"/>
                      <w:rPr>
                        <w:sz w:val="20"/>
                      </w:rPr>
                    </w:pPr>
                    <w:r>
                      <w:rPr>
                        <w:color w:val="231F20"/>
                        <w:sz w:val="20"/>
                      </w:rPr>
                      <w:t>选取哪种土样筛选分离得到尿素分解菌的概率较大？为什么？如果要分离其他微生物，应该到哪里去寻找？</w:t>
                    </w:r>
                  </w:p>
                </w:txbxContent>
              </v:textbox>
            </v:shape>
            <w10:wrap type="topAndBottom"/>
          </v:group>
        </w:pict>
      </w:r>
    </w:p>
    <w:p>
      <w:pPr>
        <w:pStyle w:val="BodyText"/>
        <w:spacing w:before="10"/>
        <w:rPr>
          <w:sz w:val="5"/>
        </w:rPr>
      </w:pPr>
    </w:p>
    <w:p>
      <w:pPr>
        <w:pStyle w:val="BodyText"/>
        <w:ind w:left="1957"/>
        <w:rPr>
          <w:sz w:val="20"/>
        </w:rPr>
      </w:pPr>
      <w:r>
        <w:rPr>
          <w:sz w:val="20"/>
        </w:rPr>
        <w:drawing>
          <wp:inline distT="0" distB="0" distL="0" distR="0">
            <wp:extent cx="131837" cy="21431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xmlns:r="http://schemas.openxmlformats.org/officeDocument/2006/relationships" r:embed="rId67" cstate="print"/>
                    <a:stretch>
                      <a:fillRect/>
                    </a:stretch>
                  </pic:blipFill>
                  <pic:spPr>
                    <a:xfrm>
                      <a:off x="0" y="0"/>
                      <a:ext cx="131837" cy="214312"/>
                    </a:xfrm>
                    <a:prstGeom prst="rect">
                      <a:avLst/>
                    </a:prstGeom>
                  </pic:spPr>
                </pic:pic>
              </a:graphicData>
            </a:graphic>
          </wp:inline>
        </w:drawing>
      </w:r>
    </w:p>
    <w:p>
      <w:pPr>
        <w:pStyle w:val="BodyText"/>
        <w:spacing w:before="9"/>
        <w:rPr>
          <w:sz w:val="7"/>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3600"/>
        <w:gridCol w:w="3600"/>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373"/>
          <w:jc w:val="left"/>
        </w:trPr>
        <w:tc>
          <w:tcPr>
            <w:tcW w:w="3600" w:type="dxa"/>
            <w:tcBorders>
              <w:bottom w:val="nil"/>
            </w:tcBorders>
          </w:tcPr>
          <w:p>
            <w:pPr>
              <w:pStyle w:val="TableParagraph"/>
              <w:spacing w:before="76"/>
              <w:ind w:left="111" w:right="-15"/>
              <w:rPr>
                <w:sz w:val="20"/>
              </w:rPr>
            </w:pPr>
            <w:r>
              <w:rPr>
                <w:color w:val="231F20"/>
                <w:spacing w:val="3"/>
                <w:sz w:val="20"/>
              </w:rPr>
              <w:t>提出分离尿素分解菌</w:t>
            </w:r>
            <w:r>
              <w:rPr>
                <w:color w:val="231F20"/>
                <w:spacing w:val="4"/>
                <w:sz w:val="20"/>
              </w:rPr>
              <w:t>（或其他目标菌）</w:t>
            </w:r>
          </w:p>
        </w:tc>
        <w:tc>
          <w:tcPr>
            <w:tcW w:w="3600" w:type="dxa"/>
            <w:tcBorders>
              <w:bottom w:val="nil"/>
            </w:tcBorders>
          </w:tcPr>
          <w:p>
            <w:pPr>
              <w:pStyle w:val="TableParagraph"/>
              <w:spacing w:before="76"/>
              <w:ind w:left="111"/>
              <w:rPr>
                <w:sz w:val="20"/>
              </w:rPr>
            </w:pPr>
            <w:r>
              <w:rPr>
                <w:color w:val="231F20"/>
                <w:sz w:val="20"/>
              </w:rPr>
              <w:t>用科学思维提出、论证合理、可行的</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3600" w:type="dxa"/>
            <w:tcBorders>
              <w:top w:val="nil"/>
              <w:bottom w:val="nil"/>
            </w:tcBorders>
          </w:tcPr>
          <w:p>
            <w:pPr>
              <w:pStyle w:val="TableParagraph"/>
              <w:spacing w:before="23"/>
              <w:ind w:left="111"/>
              <w:rPr>
                <w:sz w:val="20"/>
              </w:rPr>
            </w:pPr>
            <w:r>
              <w:rPr>
                <w:color w:val="231F20"/>
                <w:sz w:val="20"/>
              </w:rPr>
              <w:t>的技术路线，如土样的选取和处理，</w:t>
            </w:r>
          </w:p>
        </w:tc>
        <w:tc>
          <w:tcPr>
            <w:tcW w:w="3600" w:type="dxa"/>
            <w:tcBorders>
              <w:top w:val="nil"/>
              <w:bottom w:val="nil"/>
            </w:tcBorders>
          </w:tcPr>
          <w:p>
            <w:pPr>
              <w:pStyle w:val="TableParagraph"/>
              <w:spacing w:before="23"/>
              <w:ind w:left="111"/>
              <w:rPr>
                <w:sz w:val="20"/>
              </w:rPr>
            </w:pPr>
            <w:r>
              <w:rPr>
                <w:color w:val="231F20"/>
                <w:sz w:val="20"/>
              </w:rPr>
              <w:t>设计思路。</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3600" w:type="dxa"/>
            <w:tcBorders>
              <w:top w:val="nil"/>
              <w:bottom w:val="nil"/>
            </w:tcBorders>
          </w:tcPr>
          <w:p>
            <w:pPr>
              <w:pStyle w:val="TableParagraph"/>
              <w:spacing w:before="23"/>
              <w:ind w:left="111"/>
              <w:rPr>
                <w:sz w:val="20"/>
              </w:rPr>
            </w:pPr>
            <w:r>
              <w:rPr>
                <w:color w:val="231F20"/>
                <w:sz w:val="20"/>
              </w:rPr>
              <w:t>培养基的选择、配制和灭菌，培养条</w:t>
            </w:r>
          </w:p>
        </w:tc>
        <w:tc>
          <w:tcPr>
            <w:tcW w:w="3600" w:type="dxa"/>
            <w:tcBorders>
              <w:top w:val="nil"/>
              <w:bottom w:val="nil"/>
            </w:tcBorders>
          </w:tcPr>
          <w:p>
            <w:pPr>
              <w:pStyle w:val="TableParagraph"/>
              <w:rPr>
                <w:rFonts w:ascii="Times New Roman"/>
                <w:sz w:val="20"/>
              </w:rPr>
            </w:pPr>
          </w:p>
        </w:tc>
      </w:tr>
      <w:tr>
        <w:tblPrEx>
          <w:tblW w:w="0" w:type="auto"/>
          <w:jc w:val="left"/>
          <w:tblInd w:w="235" w:type="dxa"/>
          <w:tblLayout w:type="fixed"/>
          <w:tblCellMar>
            <w:top w:w="0" w:type="dxa"/>
            <w:left w:w="0" w:type="dxa"/>
            <w:bottom w:w="0" w:type="dxa"/>
            <w:right w:w="0" w:type="dxa"/>
          </w:tblCellMar>
          <w:tblLook w:val="01E0"/>
        </w:tblPrEx>
        <w:trPr>
          <w:trHeight w:val="358"/>
          <w:jc w:val="left"/>
        </w:trPr>
        <w:tc>
          <w:tcPr>
            <w:tcW w:w="3600" w:type="dxa"/>
            <w:tcBorders>
              <w:top w:val="nil"/>
            </w:tcBorders>
          </w:tcPr>
          <w:p>
            <w:pPr>
              <w:pStyle w:val="TableParagraph"/>
              <w:spacing w:before="23"/>
              <w:ind w:left="111"/>
              <w:rPr>
                <w:sz w:val="20"/>
              </w:rPr>
            </w:pPr>
            <w:r>
              <w:rPr>
                <w:color w:val="231F20"/>
                <w:sz w:val="20"/>
              </w:rPr>
              <w:t>件的控制等。</w:t>
            </w:r>
          </w:p>
        </w:tc>
        <w:tc>
          <w:tcPr>
            <w:tcW w:w="3600" w:type="dxa"/>
            <w:tcBorders>
              <w:top w:val="nil"/>
            </w:tcBorders>
          </w:tcPr>
          <w:p>
            <w:pPr>
              <w:pStyle w:val="TableParagraph"/>
              <w:rPr>
                <w:rFonts w:ascii="Times New Roman"/>
                <w:sz w:val="20"/>
              </w:rPr>
            </w:pPr>
          </w:p>
        </w:tc>
      </w:tr>
    </w:tbl>
    <w:p>
      <w:pPr>
        <w:pStyle w:val="BodyText"/>
        <w:spacing w:before="8"/>
        <w:rPr>
          <w:sz w:val="7"/>
        </w:rPr>
      </w:pPr>
    </w:p>
    <w:p>
      <w:pPr>
        <w:pStyle w:val="BodyText"/>
        <w:ind w:left="1957"/>
        <w:rPr>
          <w:sz w:val="20"/>
        </w:rPr>
      </w:pPr>
      <w:r>
        <w:rPr>
          <w:sz w:val="20"/>
        </w:rPr>
        <w:drawing>
          <wp:inline distT="0" distB="0" distL="0" distR="0">
            <wp:extent cx="131837" cy="214312"/>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xmlns:r="http://schemas.openxmlformats.org/officeDocument/2006/relationships" r:embed="rId67" cstate="print"/>
                    <a:stretch>
                      <a:fillRect/>
                    </a:stretch>
                  </pic:blipFill>
                  <pic:spPr>
                    <a:xfrm>
                      <a:off x="0" y="0"/>
                      <a:ext cx="131837" cy="214312"/>
                    </a:xfrm>
                    <a:prstGeom prst="rect">
                      <a:avLst/>
                    </a:prstGeom>
                  </pic:spPr>
                </pic:pic>
              </a:graphicData>
            </a:graphic>
          </wp:inline>
        </w:drawing>
      </w:r>
    </w:p>
    <w:p>
      <w:pPr>
        <w:pStyle w:val="BodyText"/>
        <w:spacing w:before="3"/>
        <w:rPr>
          <w:sz w:val="11"/>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3600"/>
        <w:gridCol w:w="3600"/>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373"/>
          <w:jc w:val="left"/>
        </w:trPr>
        <w:tc>
          <w:tcPr>
            <w:tcW w:w="3600" w:type="dxa"/>
            <w:tcBorders>
              <w:bottom w:val="nil"/>
            </w:tcBorders>
          </w:tcPr>
          <w:p>
            <w:pPr>
              <w:pStyle w:val="TableParagraph"/>
              <w:spacing w:before="76"/>
              <w:ind w:left="111"/>
              <w:rPr>
                <w:sz w:val="20"/>
              </w:rPr>
            </w:pPr>
            <w:r>
              <w:rPr>
                <w:color w:val="231F20"/>
                <w:sz w:val="20"/>
              </w:rPr>
              <w:t>分组设计探究方案（可查阅资料），展</w:t>
            </w:r>
          </w:p>
        </w:tc>
        <w:tc>
          <w:tcPr>
            <w:tcW w:w="3600" w:type="dxa"/>
            <w:tcBorders>
              <w:bottom w:val="nil"/>
            </w:tcBorders>
          </w:tcPr>
          <w:p>
            <w:pPr>
              <w:pStyle w:val="TableParagraph"/>
              <w:spacing w:before="76"/>
              <w:ind w:left="111"/>
              <w:rPr>
                <w:sz w:val="20"/>
              </w:rPr>
            </w:pPr>
            <w:r>
              <w:rPr>
                <w:color w:val="231F20"/>
                <w:sz w:val="20"/>
              </w:rPr>
              <w:t>针对具体问题，根据现有实验室条件，</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3600" w:type="dxa"/>
            <w:tcBorders>
              <w:top w:val="nil"/>
              <w:bottom w:val="nil"/>
            </w:tcBorders>
          </w:tcPr>
          <w:p>
            <w:pPr>
              <w:pStyle w:val="TableParagraph"/>
              <w:spacing w:before="23"/>
              <w:ind w:left="111"/>
              <w:rPr>
                <w:sz w:val="20"/>
              </w:rPr>
            </w:pPr>
            <w:r>
              <w:rPr>
                <w:color w:val="231F20"/>
                <w:sz w:val="20"/>
              </w:rPr>
              <w:t>示、交流方案的合理性和可操作性，</w:t>
            </w:r>
          </w:p>
        </w:tc>
        <w:tc>
          <w:tcPr>
            <w:tcW w:w="3600" w:type="dxa"/>
            <w:tcBorders>
              <w:top w:val="nil"/>
              <w:bottom w:val="nil"/>
            </w:tcBorders>
          </w:tcPr>
          <w:p>
            <w:pPr>
              <w:pStyle w:val="TableParagraph"/>
              <w:spacing w:before="23"/>
              <w:ind w:left="111"/>
              <w:rPr>
                <w:sz w:val="20"/>
              </w:rPr>
            </w:pPr>
            <w:r>
              <w:rPr>
                <w:color w:val="231F20"/>
                <w:sz w:val="20"/>
              </w:rPr>
              <w:t>设计可操作的实验探究方案。</w:t>
            </w:r>
          </w:p>
        </w:tc>
      </w:tr>
      <w:tr>
        <w:tblPrEx>
          <w:tblW w:w="0" w:type="auto"/>
          <w:jc w:val="left"/>
          <w:tblInd w:w="235" w:type="dxa"/>
          <w:tblLayout w:type="fixed"/>
          <w:tblCellMar>
            <w:top w:w="0" w:type="dxa"/>
            <w:left w:w="0" w:type="dxa"/>
            <w:bottom w:w="0" w:type="dxa"/>
            <w:right w:w="0" w:type="dxa"/>
          </w:tblCellMar>
          <w:tblLook w:val="01E0"/>
        </w:tblPrEx>
        <w:trPr>
          <w:trHeight w:val="320"/>
          <w:jc w:val="left"/>
        </w:trPr>
        <w:tc>
          <w:tcPr>
            <w:tcW w:w="3600" w:type="dxa"/>
            <w:tcBorders>
              <w:top w:val="nil"/>
              <w:bottom w:val="nil"/>
            </w:tcBorders>
          </w:tcPr>
          <w:p>
            <w:pPr>
              <w:pStyle w:val="TableParagraph"/>
              <w:spacing w:before="23"/>
              <w:ind w:left="111"/>
              <w:rPr>
                <w:sz w:val="20"/>
              </w:rPr>
            </w:pPr>
            <w:r>
              <w:rPr>
                <w:color w:val="231F20"/>
                <w:sz w:val="20"/>
              </w:rPr>
              <w:t>制订出在实验室条件下可实施的方案</w:t>
            </w:r>
          </w:p>
        </w:tc>
        <w:tc>
          <w:tcPr>
            <w:tcW w:w="3600" w:type="dxa"/>
            <w:tcBorders>
              <w:top w:val="nil"/>
              <w:bottom w:val="nil"/>
            </w:tcBorders>
          </w:tcPr>
          <w:p>
            <w:pPr>
              <w:pStyle w:val="TableParagraph"/>
              <w:rPr>
                <w:rFonts w:ascii="Times New Roman"/>
                <w:sz w:val="20"/>
              </w:rPr>
            </w:pPr>
          </w:p>
        </w:tc>
      </w:tr>
      <w:tr>
        <w:tblPrEx>
          <w:tblW w:w="0" w:type="auto"/>
          <w:jc w:val="left"/>
          <w:tblInd w:w="235" w:type="dxa"/>
          <w:tblLayout w:type="fixed"/>
          <w:tblCellMar>
            <w:top w:w="0" w:type="dxa"/>
            <w:left w:w="0" w:type="dxa"/>
            <w:bottom w:w="0" w:type="dxa"/>
            <w:right w:w="0" w:type="dxa"/>
          </w:tblCellMar>
          <w:tblLook w:val="01E0"/>
        </w:tblPrEx>
        <w:trPr>
          <w:trHeight w:val="358"/>
          <w:jc w:val="left"/>
        </w:trPr>
        <w:tc>
          <w:tcPr>
            <w:tcW w:w="3600" w:type="dxa"/>
            <w:tcBorders>
              <w:top w:val="nil"/>
            </w:tcBorders>
          </w:tcPr>
          <w:p>
            <w:pPr>
              <w:pStyle w:val="TableParagraph"/>
              <w:spacing w:before="23"/>
              <w:ind w:left="11"/>
              <w:rPr>
                <w:sz w:val="20"/>
              </w:rPr>
            </w:pPr>
            <w:r>
              <w:rPr>
                <w:color w:val="231F20"/>
                <w:sz w:val="20"/>
              </w:rPr>
              <w:t>（教师做必要的指导</w:t>
            </w:r>
            <w:r>
              <w:rPr>
                <w:color w:val="231F20"/>
                <w:spacing w:val="-75"/>
                <w:sz w:val="20"/>
              </w:rPr>
              <w:t>）</w:t>
            </w:r>
            <w:r>
              <w:rPr>
                <w:color w:val="231F20"/>
                <w:sz w:val="20"/>
              </w:rPr>
              <w:t>。</w:t>
            </w:r>
          </w:p>
        </w:tc>
        <w:tc>
          <w:tcPr>
            <w:tcW w:w="3600" w:type="dxa"/>
            <w:tcBorders>
              <w:top w:val="nil"/>
            </w:tcBorders>
          </w:tcPr>
          <w:p>
            <w:pPr>
              <w:pStyle w:val="TableParagraph"/>
              <w:rPr>
                <w:rFonts w:ascii="Times New Roman"/>
                <w:sz w:val="20"/>
              </w:rPr>
            </w:pPr>
          </w:p>
        </w:tc>
      </w:tr>
    </w:tbl>
    <w:p>
      <w:pPr>
        <w:spacing w:after="0"/>
        <w:rPr>
          <w:rFonts w:ascii="Times New Roman"/>
          <w:sz w:val="20"/>
        </w:rPr>
        <w:sectPr>
          <w:pgSz w:w="10780" w:h="15090"/>
          <w:pgMar w:top="1260" w:right="1460" w:bottom="1400" w:left="1480" w:header="1029" w:footer="1217"/>
          <w:cols w:space="708"/>
        </w:sectPr>
      </w:pPr>
    </w:p>
    <w:p>
      <w:pPr>
        <w:pStyle w:val="BodyText"/>
        <w:rPr>
          <w:sz w:val="20"/>
        </w:rPr>
      </w:pPr>
    </w:p>
    <w:p>
      <w:pPr>
        <w:pStyle w:val="BodyText"/>
        <w:spacing w:before="9"/>
        <w:rPr>
          <w:sz w:val="17"/>
        </w:rPr>
      </w:pPr>
    </w:p>
    <w:p>
      <w:pPr>
        <w:pStyle w:val="BodyText"/>
        <w:ind w:left="2049"/>
        <w:rPr>
          <w:sz w:val="20"/>
        </w:rPr>
      </w:pPr>
      <w:r>
        <w:rPr>
          <w:sz w:val="20"/>
        </w:rPr>
        <w:drawing>
          <wp:inline distT="0" distB="0" distL="0" distR="0">
            <wp:extent cx="132072" cy="214693"/>
            <wp:effectExtent l="0" t="0" r="0" b="0"/>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xmlns:r="http://schemas.openxmlformats.org/officeDocument/2006/relationships" r:embed="rId68" cstate="print"/>
                    <a:stretch>
                      <a:fillRect/>
                    </a:stretch>
                  </pic:blipFill>
                  <pic:spPr>
                    <a:xfrm>
                      <a:off x="0" y="0"/>
                      <a:ext cx="132072" cy="214693"/>
                    </a:xfrm>
                    <a:prstGeom prst="rect">
                      <a:avLst/>
                    </a:prstGeom>
                  </pic:spPr>
                </pic:pic>
              </a:graphicData>
            </a:graphic>
          </wp:inline>
        </w:drawing>
      </w:r>
    </w:p>
    <w:p>
      <w:pPr>
        <w:pStyle w:val="BodyText"/>
        <w:spacing w:before="7"/>
        <w:rPr>
          <w:sz w:val="5"/>
        </w:rPr>
      </w:pPr>
    </w:p>
    <w:p>
      <w:pPr>
        <w:pStyle w:val="BodyText"/>
        <w:ind w:left="390"/>
        <w:rPr>
          <w:sz w:val="20"/>
        </w:rPr>
      </w:pPr>
      <w:r>
        <w:rPr>
          <w:sz w:val="20"/>
        </w:rPr>
        <w:pict>
          <v:group id="_x0000_i1104" style="width:360.6pt;height:37.95pt;mso-position-horizontal-relative:char;mso-position-vertical-relative:line" coordorigin="0,0" coordsize="7212,759">
            <v:shape id="_x0000_s1105" type="#_x0000_t202" style="width:3600;height:747;left:3605;position:absolute;top:5" filled="f" stroked="t" strokecolor="#58595b" strokeweight="0.57pt">
              <v:stroke dashstyle="solid"/>
              <v:textbox inset="0,0,0,0">
                <w:txbxContent>
                  <w:p>
                    <w:pPr>
                      <w:spacing w:before="78" w:line="300" w:lineRule="auto"/>
                      <w:ind w:left="107" w:right="92" w:firstLine="0"/>
                      <w:jc w:val="left"/>
                      <w:rPr>
                        <w:sz w:val="20"/>
                      </w:rPr>
                    </w:pPr>
                    <w:r>
                      <w:rPr>
                        <w:color w:val="231F20"/>
                        <w:sz w:val="20"/>
                      </w:rPr>
                      <w:t>能正确、合理运用无菌操作技术等相关技能实施实验探究过程。</w:t>
                    </w:r>
                  </w:p>
                </w:txbxContent>
              </v:textbox>
            </v:shape>
            <v:shape id="_x0000_s1106" type="#_x0000_t202" style="width:3600;height:747;left:5;position:absolute;top:5" filled="f" stroked="t" strokecolor="#58595b" strokeweight="0.57pt">
              <v:stroke dashstyle="solid"/>
              <v:textbox inset="0,0,0,0">
                <w:txbxContent>
                  <w:p>
                    <w:pPr>
                      <w:spacing w:before="78" w:line="300" w:lineRule="auto"/>
                      <w:ind w:left="107" w:right="5" w:firstLine="0"/>
                      <w:jc w:val="left"/>
                      <w:rPr>
                        <w:sz w:val="20"/>
                      </w:rPr>
                    </w:pPr>
                    <w:r>
                      <w:rPr>
                        <w:color w:val="231F20"/>
                        <w:sz w:val="20"/>
                      </w:rPr>
                      <w:t>分组实施探究：取样、配制培养基、灭菌、接种、培养、鉴定。</w:t>
                    </w:r>
                  </w:p>
                </w:txbxContent>
              </v:textbox>
            </v:shape>
            <w10:wrap type="none"/>
          </v:group>
        </w:pict>
      </w:r>
    </w:p>
    <w:p>
      <w:pPr>
        <w:pStyle w:val="BodyText"/>
        <w:spacing w:before="3"/>
        <w:rPr>
          <w:sz w:val="5"/>
        </w:rPr>
      </w:pPr>
      <w:r>
        <w:drawing>
          <wp:anchor distT="0" distB="0" distL="0" distR="0" simplePos="0" relativeHeight="251661312" behindDoc="0" locked="0" layoutInCell="1" allowOverlap="1">
            <wp:simplePos x="0" y="0"/>
            <wp:positionH relativeFrom="page">
              <wp:posOffset>2241001</wp:posOffset>
            </wp:positionH>
            <wp:positionV relativeFrom="paragraph">
              <wp:posOffset>67545</wp:posOffset>
            </wp:positionV>
            <wp:extent cx="131837" cy="214312"/>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xmlns:r="http://schemas.openxmlformats.org/officeDocument/2006/relationships" r:embed="rId69" cstate="print"/>
                    <a:stretch>
                      <a:fillRect/>
                    </a:stretch>
                  </pic:blipFill>
                  <pic:spPr>
                    <a:xfrm>
                      <a:off x="0" y="0"/>
                      <a:ext cx="131837" cy="214312"/>
                    </a:xfrm>
                    <a:prstGeom prst="rect">
                      <a:avLst/>
                    </a:prstGeom>
                  </pic:spPr>
                </pic:pic>
              </a:graphicData>
            </a:graphic>
          </wp:anchor>
        </w:drawing>
      </w:r>
    </w:p>
    <w:p>
      <w:pPr>
        <w:pStyle w:val="BodyText"/>
        <w:spacing w:before="9"/>
        <w:rPr>
          <w:sz w:val="7"/>
        </w:rPr>
      </w:pPr>
    </w:p>
    <w:p>
      <w:pPr>
        <w:pStyle w:val="BodyText"/>
        <w:ind w:left="390"/>
        <w:rPr>
          <w:sz w:val="20"/>
        </w:rPr>
      </w:pPr>
      <w:r>
        <w:rPr>
          <w:sz w:val="20"/>
        </w:rPr>
        <w:pict>
          <v:group id="_x0000_i1107" style="width:360.6pt;height:37.95pt;mso-position-horizontal-relative:char;mso-position-vertical-relative:line" coordorigin="0,0" coordsize="7212,759">
            <v:shape id="_x0000_s1108" type="#_x0000_t202" style="width:3600;height:747;left:3605;position:absolute;top:5" filled="f" stroked="t" strokecolor="#58595b" strokeweight="0.57pt">
              <v:stroke dashstyle="solid"/>
              <v:textbox inset="0,0,0,0">
                <w:txbxContent>
                  <w:p>
                    <w:pPr>
                      <w:spacing w:before="78"/>
                      <w:ind w:left="107" w:right="0" w:firstLine="0"/>
                      <w:jc w:val="left"/>
                      <w:rPr>
                        <w:sz w:val="20"/>
                      </w:rPr>
                    </w:pPr>
                    <w:r>
                      <w:rPr>
                        <w:color w:val="231F20"/>
                        <w:sz w:val="20"/>
                      </w:rPr>
                      <w:t>总结、评价、反思探究活动。</w:t>
                    </w:r>
                  </w:p>
                </w:txbxContent>
              </v:textbox>
            </v:shape>
            <v:shape id="_x0000_s1109" type="#_x0000_t202" style="width:3600;height:747;left:5;position:absolute;top:5" filled="f" stroked="t" strokecolor="#58595b" strokeweight="0.57pt">
              <v:stroke dashstyle="solid"/>
              <v:textbox inset="0,0,0,0">
                <w:txbxContent>
                  <w:p>
                    <w:pPr>
                      <w:spacing w:before="78" w:line="300" w:lineRule="auto"/>
                      <w:ind w:left="107" w:right="92" w:firstLine="0"/>
                      <w:jc w:val="left"/>
                      <w:rPr>
                        <w:sz w:val="20"/>
                      </w:rPr>
                    </w:pPr>
                    <w:r>
                      <w:rPr>
                        <w:color w:val="231F20"/>
                        <w:sz w:val="20"/>
                      </w:rPr>
                      <w:t>展示交流实验探究结果，分析成功或失败原因。</w:t>
                    </w:r>
                  </w:p>
                </w:txbxContent>
              </v:textbox>
            </v:shape>
            <w10:wrap type="none"/>
          </v:group>
        </w:pict>
      </w:r>
    </w:p>
    <w:p>
      <w:pPr>
        <w:pStyle w:val="BodyText"/>
        <w:rPr>
          <w:sz w:val="20"/>
        </w:rPr>
      </w:pPr>
    </w:p>
    <w:p>
      <w:pPr>
        <w:pStyle w:val="BodyText"/>
        <w:spacing w:before="5"/>
        <w:rPr>
          <w:sz w:val="17"/>
        </w:rPr>
      </w:pPr>
    </w:p>
    <w:p>
      <w:pPr>
        <w:pStyle w:val="BodyText"/>
        <w:spacing w:before="68" w:line="328" w:lineRule="auto"/>
        <w:ind w:left="390" w:right="229" w:firstLine="480"/>
        <w:jc w:val="both"/>
      </w:pPr>
      <w:r>
        <w:rPr>
          <w:color w:val="231F20"/>
          <w:position w:val="1"/>
          <w:sz w:val="21"/>
        </w:rPr>
        <w:t>案例</w:t>
      </w:r>
      <w:r>
        <w:rPr>
          <w:rFonts w:ascii="Times New Roman" w:eastAsia="Times New Roman"/>
          <w:b/>
          <w:i/>
          <w:color w:val="231F20"/>
          <w:position w:val="1"/>
          <w:sz w:val="21"/>
        </w:rPr>
        <w:t xml:space="preserve">2 </w:t>
      </w:r>
      <w:r>
        <w:rPr>
          <w:color w:val="231F20"/>
          <w:position w:val="1"/>
          <w:sz w:val="21"/>
        </w:rPr>
        <w:t xml:space="preserve">评析 </w:t>
      </w:r>
      <w:r>
        <w:rPr>
          <w:color w:val="231F20"/>
        </w:rPr>
        <w:t>这是一个相对完整的、在教师指导下学生围绕某一主题自主讨论、设计、完成探究实验的案例。巩固已有的生物学知识、练习相关的实验技术、学习新的实验方法、提高动手能力是这一教学活动的基本要素。许多教师在教学中都会关注这些要点并将其作为教学目标和课后评价的重点。在本案例中，授课教师不仅注意到了教学内容的基本要素，还将实验活动与发展学生的生物学学科核心素养有机结合，显著提升了教学效果。值得提倡的是，教师在教学中注意生命观念（核心素养</w:t>
      </w:r>
      <w:r>
        <w:rPr>
          <w:rFonts w:ascii="Times New Roman" w:eastAsia="Times New Roman"/>
          <w:color w:val="231F20"/>
        </w:rPr>
        <w:t>1</w:t>
      </w:r>
      <w:r>
        <w:rPr>
          <w:color w:val="231F20"/>
        </w:rPr>
        <w:t>）的渗透；在提出问题、构想实验方案及问题解决等环节中促进学生科学思维（核心素养</w:t>
      </w:r>
      <w:r>
        <w:rPr>
          <w:rFonts w:ascii="Times New Roman" w:eastAsia="Times New Roman"/>
          <w:color w:val="231F20"/>
        </w:rPr>
        <w:t>2</w:t>
      </w:r>
      <w:r>
        <w:rPr>
          <w:color w:val="231F20"/>
        </w:rPr>
        <w:t>）和科学探究能力</w:t>
      </w:r>
    </w:p>
    <w:p>
      <w:pPr>
        <w:pStyle w:val="BodyText"/>
        <w:spacing w:line="328" w:lineRule="auto"/>
        <w:ind w:left="390" w:right="241" w:hanging="120"/>
        <w:jc w:val="both"/>
      </w:pPr>
      <w:r>
        <w:rPr>
          <w:color w:val="231F20"/>
          <w:spacing w:val="8"/>
        </w:rPr>
        <w:t>（</w:t>
      </w:r>
      <w:r>
        <w:rPr>
          <w:color w:val="231F20"/>
          <w:spacing w:val="14"/>
        </w:rPr>
        <w:t>核心素养</w:t>
      </w:r>
      <w:r>
        <w:rPr>
          <w:rFonts w:ascii="Times New Roman" w:eastAsia="Times New Roman"/>
          <w:color w:val="231F20"/>
          <w:spacing w:val="4"/>
        </w:rPr>
        <w:t>3</w:t>
      </w:r>
      <w:r>
        <w:rPr>
          <w:color w:val="231F20"/>
          <w:spacing w:val="4"/>
        </w:rPr>
        <w:t>）</w:t>
      </w:r>
      <w:r>
        <w:rPr>
          <w:color w:val="231F20"/>
          <w:spacing w:val="3"/>
        </w:rPr>
        <w:t>的发展。如果教师引导得当，学生还可以思考怎样应</w:t>
      </w:r>
      <w:r>
        <w:rPr>
          <w:color w:val="231F20"/>
        </w:rPr>
        <w:t>用相关的技术来应对现实生活中的问题（</w:t>
      </w:r>
      <w:r>
        <w:rPr>
          <w:color w:val="231F20"/>
          <w:spacing w:val="7"/>
        </w:rPr>
        <w:t>核心素养</w:t>
      </w:r>
      <w:r>
        <w:rPr>
          <w:rFonts w:ascii="Times New Roman" w:eastAsia="Times New Roman"/>
          <w:color w:val="231F20"/>
          <w:spacing w:val="-45"/>
        </w:rPr>
        <w:t>4</w:t>
      </w:r>
      <w:r>
        <w:rPr>
          <w:color w:val="231F20"/>
          <w:spacing w:val="-45"/>
        </w:rPr>
        <w:t>）</w:t>
      </w:r>
      <w:r>
        <w:rPr>
          <w:color w:val="231F20"/>
          <w:spacing w:val="-90"/>
        </w:rPr>
        <w:t>。</w:t>
      </w:r>
    </w:p>
    <w:p>
      <w:pPr>
        <w:pStyle w:val="BodyText"/>
        <w:rPr>
          <w:sz w:val="32"/>
        </w:rPr>
      </w:pPr>
    </w:p>
    <w:p>
      <w:pPr>
        <w:spacing w:before="0"/>
        <w:ind w:left="2905" w:right="0" w:firstLine="0"/>
        <w:jc w:val="both"/>
        <w:rPr>
          <w:sz w:val="21"/>
        </w:rPr>
      </w:pPr>
      <w:r>
        <w:rPr>
          <w:color w:val="231F20"/>
          <w:spacing w:val="13"/>
          <w:sz w:val="21"/>
        </w:rPr>
        <w:t>案例</w:t>
      </w:r>
      <w:r>
        <w:rPr>
          <w:rFonts w:ascii="Times New Roman" w:eastAsia="Times New Roman"/>
          <w:b/>
          <w:i/>
          <w:color w:val="231F20"/>
          <w:sz w:val="21"/>
        </w:rPr>
        <w:t>3</w:t>
      </w:r>
      <w:r>
        <w:rPr>
          <w:rFonts w:ascii="Times New Roman" w:eastAsia="Times New Roman"/>
          <w:b/>
          <w:i/>
          <w:color w:val="231F20"/>
          <w:spacing w:val="52"/>
          <w:sz w:val="21"/>
        </w:rPr>
        <w:t xml:space="preserve"> </w:t>
      </w:r>
      <w:r>
        <w:rPr>
          <w:color w:val="231F20"/>
          <w:sz w:val="21"/>
        </w:rPr>
        <w:t>寻找疯牛病的病原体</w:t>
      </w:r>
    </w:p>
    <w:p>
      <w:pPr>
        <w:pStyle w:val="BodyText"/>
        <w:spacing w:before="147" w:line="328" w:lineRule="auto"/>
        <w:ind w:left="390" w:right="238" w:firstLine="480"/>
        <w:jc w:val="both"/>
      </w:pPr>
      <w:r>
        <w:rPr>
          <w:color w:val="231F20"/>
        </w:rPr>
        <w:t>生物学教学中探究有多种不同的方式。除了实验探究，通过对资料的分析进行探究也是一种常用的学习方式，关键在于教师对素材的选择和组织。通常，社会和学生关注的、与教材相关的问题教师可优先考虑选用。教师可充分利用这些素材引导学生提出问题，寻找证据，培养学生的科学思维。</w:t>
      </w:r>
    </w:p>
    <w:p>
      <w:pPr>
        <w:pStyle w:val="BodyText"/>
        <w:spacing w:line="328" w:lineRule="auto"/>
        <w:ind w:left="390" w:right="238" w:firstLine="480"/>
      </w:pPr>
      <w:r>
        <w:rPr>
          <w:color w:val="231F20"/>
        </w:rPr>
        <w:t>例如，教师可就“疯牛病”这一社会关注的生物学议题，搜集有关资料，在课堂上或具有网络互动功能的平台上和同学们一起探讨这</w:t>
      </w:r>
    </w:p>
    <w:p>
      <w:pPr>
        <w:spacing w:after="0" w:line="328" w:lineRule="auto"/>
        <w:sectPr>
          <w:pgSz w:w="10780" w:h="15090"/>
          <w:pgMar w:top="1260" w:right="1460" w:bottom="1400" w:left="1480" w:header="989" w:footer="1217"/>
          <w:cols w:space="708"/>
        </w:sectPr>
      </w:pPr>
    </w:p>
    <w:p>
      <w:pPr>
        <w:pStyle w:val="BodyText"/>
        <w:rPr>
          <w:sz w:val="20"/>
        </w:rPr>
      </w:pPr>
    </w:p>
    <w:p>
      <w:pPr>
        <w:pStyle w:val="BodyText"/>
        <w:spacing w:before="204"/>
        <w:ind w:left="220"/>
      </w:pPr>
      <w:r>
        <w:rPr>
          <w:color w:val="231F20"/>
        </w:rPr>
        <w:t>个问题。</w:t>
      </w:r>
    </w:p>
    <w:p>
      <w:pPr>
        <w:pStyle w:val="BodyText"/>
        <w:spacing w:before="113" w:line="328" w:lineRule="auto"/>
        <w:ind w:left="220" w:right="408" w:firstLine="480"/>
      </w:pPr>
      <w:r>
        <w:rPr>
          <w:color w:val="231F20"/>
        </w:rPr>
        <w:t>情境设置：简介欧洲某些国家疯牛病发生和传播的事实。教师提出一系列环环相扣的问题引导讨论。</w:t>
      </w:r>
    </w:p>
    <w:p>
      <w:pPr>
        <w:pStyle w:val="ListParagraph"/>
        <w:numPr>
          <w:ilvl w:val="0"/>
          <w:numId w:val="4"/>
        </w:numPr>
        <w:tabs>
          <w:tab w:val="left" w:pos="881"/>
        </w:tabs>
        <w:spacing w:before="0" w:after="0" w:line="305" w:lineRule="exact"/>
        <w:ind w:left="880" w:right="0" w:hanging="181"/>
        <w:jc w:val="left"/>
        <w:rPr>
          <w:sz w:val="24"/>
        </w:rPr>
      </w:pPr>
      <w:r>
        <w:rPr>
          <w:color w:val="231F20"/>
          <w:spacing w:val="-12"/>
          <w:sz w:val="24"/>
        </w:rPr>
        <w:t>为什么国家要严格控制牛肉的进口？这说明疯牛病有什么特点？</w:t>
      </w:r>
    </w:p>
    <w:p>
      <w:pPr>
        <w:pStyle w:val="ListParagraph"/>
        <w:numPr>
          <w:ilvl w:val="0"/>
          <w:numId w:val="4"/>
        </w:numPr>
        <w:tabs>
          <w:tab w:val="left" w:pos="881"/>
        </w:tabs>
        <w:spacing w:before="112" w:after="0" w:line="240" w:lineRule="auto"/>
        <w:ind w:left="880" w:right="0" w:hanging="181"/>
        <w:jc w:val="left"/>
        <w:rPr>
          <w:sz w:val="24"/>
        </w:rPr>
      </w:pPr>
      <w:r>
        <w:rPr>
          <w:color w:val="231F20"/>
          <w:sz w:val="24"/>
        </w:rPr>
        <w:t>哪些病原体会导致传染病？</w:t>
      </w:r>
    </w:p>
    <w:p>
      <w:pPr>
        <w:pStyle w:val="ListParagraph"/>
        <w:numPr>
          <w:ilvl w:val="0"/>
          <w:numId w:val="4"/>
        </w:numPr>
        <w:tabs>
          <w:tab w:val="left" w:pos="881"/>
        </w:tabs>
        <w:spacing w:before="113" w:after="0" w:line="240" w:lineRule="auto"/>
        <w:ind w:left="880" w:right="0" w:hanging="181"/>
        <w:jc w:val="left"/>
        <w:rPr>
          <w:sz w:val="24"/>
        </w:rPr>
      </w:pPr>
      <w:r>
        <w:rPr>
          <w:color w:val="231F20"/>
          <w:sz w:val="24"/>
        </w:rPr>
        <w:t>如果有一种原因不明的传染病，如何着手寻找它的病原体？</w:t>
      </w:r>
    </w:p>
    <w:p>
      <w:pPr>
        <w:pStyle w:val="ListParagraph"/>
        <w:numPr>
          <w:ilvl w:val="0"/>
          <w:numId w:val="4"/>
        </w:numPr>
        <w:tabs>
          <w:tab w:val="left" w:pos="881"/>
        </w:tabs>
        <w:spacing w:before="112" w:after="0" w:line="240" w:lineRule="auto"/>
        <w:ind w:left="880" w:right="0" w:hanging="181"/>
        <w:jc w:val="left"/>
        <w:rPr>
          <w:sz w:val="24"/>
        </w:rPr>
      </w:pPr>
      <w:r>
        <w:rPr>
          <w:color w:val="231F20"/>
          <w:sz w:val="24"/>
        </w:rPr>
        <w:t>应该从病牛的哪些（个）部位提取病原体？</w:t>
      </w:r>
    </w:p>
    <w:p>
      <w:pPr>
        <w:pStyle w:val="ListParagraph"/>
        <w:numPr>
          <w:ilvl w:val="0"/>
          <w:numId w:val="4"/>
        </w:numPr>
        <w:tabs>
          <w:tab w:val="left" w:pos="881"/>
        </w:tabs>
        <w:spacing w:before="113" w:after="0" w:line="240" w:lineRule="auto"/>
        <w:ind w:left="880" w:right="0" w:hanging="181"/>
        <w:jc w:val="left"/>
        <w:rPr>
          <w:sz w:val="24"/>
        </w:rPr>
      </w:pPr>
      <w:r>
        <w:rPr>
          <w:color w:val="231F20"/>
          <w:sz w:val="24"/>
        </w:rPr>
        <w:t>如何鉴别引发疯牛病的病原体（寄生虫、细菌、病毒等</w:t>
      </w:r>
      <w:r>
        <w:rPr>
          <w:color w:val="231F20"/>
          <w:spacing w:val="-45"/>
          <w:sz w:val="24"/>
        </w:rPr>
        <w:t>）？</w:t>
      </w:r>
    </w:p>
    <w:p>
      <w:pPr>
        <w:pStyle w:val="ListParagraph"/>
        <w:numPr>
          <w:ilvl w:val="0"/>
          <w:numId w:val="4"/>
        </w:numPr>
        <w:tabs>
          <w:tab w:val="left" w:pos="881"/>
        </w:tabs>
        <w:spacing w:before="112" w:after="0" w:line="240" w:lineRule="auto"/>
        <w:ind w:left="880" w:right="0" w:hanging="181"/>
        <w:jc w:val="left"/>
        <w:rPr>
          <w:sz w:val="24"/>
        </w:rPr>
      </w:pPr>
      <w:r>
        <w:rPr>
          <w:color w:val="231F20"/>
          <w:sz w:val="24"/>
        </w:rPr>
        <w:t>陶瓷纤维过滤器能否滤除病毒？</w:t>
      </w:r>
    </w:p>
    <w:p>
      <w:pPr>
        <w:pStyle w:val="ListParagraph"/>
        <w:numPr>
          <w:ilvl w:val="0"/>
          <w:numId w:val="4"/>
        </w:numPr>
        <w:tabs>
          <w:tab w:val="left" w:pos="881"/>
        </w:tabs>
        <w:spacing w:before="113" w:after="0" w:line="240" w:lineRule="auto"/>
        <w:ind w:left="880" w:right="0" w:hanging="181"/>
        <w:jc w:val="left"/>
        <w:rPr>
          <w:sz w:val="24"/>
        </w:rPr>
      </w:pPr>
      <w:r>
        <w:rPr>
          <w:color w:val="231F20"/>
          <w:sz w:val="24"/>
        </w:rPr>
        <w:t>根据实验结果，可以对该病原体的性质和大小作出什么判断？</w:t>
      </w:r>
    </w:p>
    <w:p>
      <w:pPr>
        <w:pStyle w:val="ListParagraph"/>
        <w:numPr>
          <w:ilvl w:val="0"/>
          <w:numId w:val="4"/>
        </w:numPr>
        <w:tabs>
          <w:tab w:val="left" w:pos="882"/>
        </w:tabs>
        <w:spacing w:before="112" w:after="0" w:line="328" w:lineRule="auto"/>
        <w:ind w:left="220" w:right="412" w:firstLine="480"/>
        <w:jc w:val="left"/>
        <w:rPr>
          <w:sz w:val="24"/>
        </w:rPr>
      </w:pPr>
      <w:r>
        <w:rPr>
          <w:color w:val="231F20"/>
          <w:spacing w:val="-16"/>
          <w:sz w:val="24"/>
        </w:rPr>
        <w:t>能否根据这一项实验结果就断定病原体是病毒？会不会还有其他的可能？</w:t>
      </w:r>
    </w:p>
    <w:p>
      <w:pPr>
        <w:pStyle w:val="ListParagraph"/>
        <w:numPr>
          <w:ilvl w:val="0"/>
          <w:numId w:val="4"/>
        </w:numPr>
        <w:tabs>
          <w:tab w:val="left" w:pos="881"/>
        </w:tabs>
        <w:spacing w:before="0" w:after="0" w:line="305" w:lineRule="exact"/>
        <w:ind w:left="880" w:right="0" w:hanging="181"/>
        <w:jc w:val="left"/>
        <w:rPr>
          <w:sz w:val="24"/>
        </w:rPr>
      </w:pPr>
      <w:r>
        <w:rPr>
          <w:color w:val="231F20"/>
          <w:sz w:val="24"/>
        </w:rPr>
        <w:t>如果认为病原体可能是病毒，试设计杀灭病毒的探究方案。</w:t>
      </w:r>
    </w:p>
    <w:p>
      <w:pPr>
        <w:pStyle w:val="ListParagraph"/>
        <w:numPr>
          <w:ilvl w:val="0"/>
          <w:numId w:val="4"/>
        </w:numPr>
        <w:tabs>
          <w:tab w:val="left" w:pos="881"/>
        </w:tabs>
        <w:spacing w:before="113" w:after="0" w:line="240" w:lineRule="auto"/>
        <w:ind w:left="880" w:right="0" w:hanging="181"/>
        <w:jc w:val="left"/>
        <w:rPr>
          <w:sz w:val="24"/>
        </w:rPr>
      </w:pPr>
      <w:r>
        <w:rPr>
          <w:color w:val="231F20"/>
          <w:sz w:val="24"/>
        </w:rPr>
        <w:t>实验结果否定了病原体是病毒，病原体可能是蛋白质吗？</w:t>
      </w:r>
    </w:p>
    <w:p>
      <w:pPr>
        <w:pStyle w:val="ListParagraph"/>
        <w:numPr>
          <w:ilvl w:val="0"/>
          <w:numId w:val="4"/>
        </w:numPr>
        <w:tabs>
          <w:tab w:val="left" w:pos="881"/>
        </w:tabs>
        <w:spacing w:before="112" w:after="0" w:line="240" w:lineRule="auto"/>
        <w:ind w:left="880" w:right="0" w:hanging="181"/>
        <w:jc w:val="left"/>
        <w:rPr>
          <w:sz w:val="24"/>
        </w:rPr>
      </w:pPr>
      <w:r>
        <w:rPr>
          <w:color w:val="231F20"/>
          <w:sz w:val="24"/>
        </w:rPr>
        <w:t>如何检验病原体是否是蛋白质？</w:t>
      </w:r>
    </w:p>
    <w:p>
      <w:pPr>
        <w:pStyle w:val="BodyText"/>
        <w:spacing w:before="113" w:line="328" w:lineRule="auto"/>
        <w:ind w:left="220" w:right="399" w:firstLine="480"/>
        <w:jc w:val="both"/>
      </w:pPr>
      <w:r>
        <w:rPr>
          <w:color w:val="231F20"/>
          <w:spacing w:val="7"/>
        </w:rPr>
        <w:t>最后教师进行总结：疯牛病的病原体是一种空间结构改变了的</w:t>
      </w:r>
      <w:r>
        <w:rPr>
          <w:color w:val="231F20"/>
          <w:spacing w:val="3"/>
        </w:rPr>
        <w:t>蛋白质。由于这种蛋白质能像病毒一样传播疾病，因而称为“朊病</w:t>
      </w:r>
      <w:r>
        <w:rPr>
          <w:color w:val="231F20"/>
          <w:spacing w:val="-8"/>
        </w:rPr>
        <w:t>毒”。教师还可提供一些有关朊病毒研究的网址和资料，鼓励有兴趣</w:t>
      </w:r>
      <w:r>
        <w:rPr>
          <w:color w:val="231F20"/>
        </w:rPr>
        <w:t>的同学通过查阅资料对朊病毒进行更深入的探索。</w:t>
      </w:r>
    </w:p>
    <w:p>
      <w:pPr>
        <w:pStyle w:val="BodyText"/>
        <w:spacing w:before="5"/>
        <w:rPr>
          <w:sz w:val="32"/>
        </w:rPr>
      </w:pPr>
    </w:p>
    <w:p>
      <w:pPr>
        <w:pStyle w:val="BodyText"/>
        <w:spacing w:line="328" w:lineRule="auto"/>
        <w:ind w:left="220" w:right="391" w:firstLine="480"/>
        <w:jc w:val="both"/>
      </w:pPr>
      <w:r>
        <w:rPr>
          <w:color w:val="231F20"/>
          <w:spacing w:val="17"/>
          <w:position w:val="1"/>
          <w:sz w:val="21"/>
        </w:rPr>
        <w:t>案例</w:t>
      </w:r>
      <w:r>
        <w:rPr>
          <w:rFonts w:ascii="Times New Roman" w:eastAsia="Times New Roman"/>
          <w:b/>
          <w:color w:val="231F20"/>
          <w:position w:val="1"/>
          <w:sz w:val="21"/>
        </w:rPr>
        <w:t xml:space="preserve">3 </w:t>
      </w:r>
      <w:r>
        <w:rPr>
          <w:color w:val="231F20"/>
          <w:spacing w:val="14"/>
          <w:position w:val="1"/>
          <w:sz w:val="21"/>
        </w:rPr>
        <w:t xml:space="preserve">评析 </w:t>
      </w:r>
      <w:r>
        <w:rPr>
          <w:color w:val="231F20"/>
          <w:spacing w:val="7"/>
        </w:rPr>
        <w:t>从教学策略的角度来看，这是一个基于资料分析的</w:t>
      </w:r>
      <w:r>
        <w:rPr>
          <w:color w:val="231F20"/>
          <w:spacing w:val="-6"/>
        </w:rPr>
        <w:t>探究教学案例。该案例鲜明地展示出以下特征：</w:t>
      </w:r>
      <w:r>
        <w:rPr>
          <w:color w:val="231F20"/>
        </w:rPr>
        <w:t>（</w:t>
      </w:r>
      <w:r>
        <w:rPr>
          <w:rFonts w:ascii="Times New Roman" w:eastAsia="Times New Roman"/>
          <w:color w:val="231F20"/>
        </w:rPr>
        <w:t>1</w:t>
      </w:r>
      <w:r>
        <w:rPr>
          <w:color w:val="231F20"/>
        </w:rPr>
        <w:t>）教师课前精心搜</w:t>
      </w:r>
      <w:r>
        <w:rPr>
          <w:color w:val="231F20"/>
          <w:spacing w:val="-7"/>
        </w:rPr>
        <w:t>集、遴选和加工图文资料，设计探究情境；</w:t>
      </w:r>
      <w:r>
        <w:rPr>
          <w:color w:val="231F20"/>
        </w:rPr>
        <w:t>（</w:t>
      </w:r>
      <w:r>
        <w:rPr>
          <w:rFonts w:ascii="Times New Roman" w:eastAsia="Times New Roman"/>
          <w:color w:val="231F20"/>
        </w:rPr>
        <w:t>2</w:t>
      </w:r>
      <w:r>
        <w:rPr>
          <w:color w:val="231F20"/>
        </w:rPr>
        <w:t>）由表及里地提出结构</w:t>
      </w:r>
      <w:r>
        <w:rPr>
          <w:color w:val="231F20"/>
          <w:spacing w:val="3"/>
        </w:rPr>
        <w:t>化的、有启发性的问题串；</w:t>
      </w:r>
      <w:r>
        <w:rPr>
          <w:color w:val="231F20"/>
          <w:spacing w:val="12"/>
        </w:rPr>
        <w:t>（</w:t>
      </w:r>
      <w:r>
        <w:rPr>
          <w:rFonts w:ascii="Times New Roman" w:eastAsia="Times New Roman"/>
          <w:color w:val="231F20"/>
          <w:spacing w:val="12"/>
        </w:rPr>
        <w:t>3</w:t>
      </w:r>
      <w:r>
        <w:rPr>
          <w:color w:val="231F20"/>
          <w:spacing w:val="18"/>
        </w:rPr>
        <w:t>）</w:t>
      </w:r>
      <w:r>
        <w:rPr>
          <w:color w:val="231F20"/>
          <w:spacing w:val="17"/>
        </w:rPr>
        <w:t>引导学生一步步地深入思考、积</w:t>
      </w:r>
      <w:r>
        <w:rPr>
          <w:color w:val="231F20"/>
          <w:spacing w:val="12"/>
        </w:rPr>
        <w:t>极交流。</w:t>
      </w:r>
    </w:p>
    <w:p>
      <w:pPr>
        <w:pStyle w:val="BodyText"/>
        <w:spacing w:line="328" w:lineRule="auto"/>
        <w:ind w:left="100" w:right="408" w:firstLine="600"/>
      </w:pPr>
      <w:r>
        <w:rPr>
          <w:color w:val="231F20"/>
        </w:rPr>
        <w:t>通过以上备课和教学过程，促使学生进一步养成“科学思维”与“科学探究”的生物学学科核心素养。</w:t>
      </w:r>
    </w:p>
    <w:p>
      <w:pPr>
        <w:spacing w:after="0" w:line="328" w:lineRule="auto"/>
        <w:sectPr>
          <w:pgSz w:w="10780" w:h="15090"/>
          <w:pgMar w:top="1260" w:right="1460" w:bottom="1400" w:left="1480" w:header="1029" w:footer="1217"/>
          <w:cols w:space="708"/>
        </w:sectPr>
      </w:pPr>
    </w:p>
    <w:p>
      <w:pPr>
        <w:pStyle w:val="BodyText"/>
        <w:spacing w:before="9"/>
        <w:rPr>
          <w:sz w:val="28"/>
        </w:rPr>
      </w:pPr>
    </w:p>
    <w:p>
      <w:pPr>
        <w:spacing w:before="87"/>
        <w:ind w:left="3010" w:right="0" w:firstLine="0"/>
        <w:jc w:val="both"/>
        <w:rPr>
          <w:sz w:val="21"/>
        </w:rPr>
      </w:pPr>
      <w:r>
        <w:rPr>
          <w:color w:val="231F20"/>
          <w:spacing w:val="13"/>
          <w:sz w:val="21"/>
        </w:rPr>
        <w:t>案例</w:t>
      </w:r>
      <w:r>
        <w:rPr>
          <w:rFonts w:ascii="Times New Roman" w:eastAsia="Times New Roman"/>
          <w:b/>
          <w:color w:val="231F20"/>
          <w:sz w:val="21"/>
        </w:rPr>
        <w:t>4</w:t>
      </w:r>
      <w:r>
        <w:rPr>
          <w:rFonts w:ascii="Times New Roman" w:eastAsia="Times New Roman"/>
          <w:b/>
          <w:color w:val="231F20"/>
          <w:spacing w:val="52"/>
          <w:sz w:val="21"/>
        </w:rPr>
        <w:t xml:space="preserve"> </w:t>
      </w:r>
      <w:r>
        <w:rPr>
          <w:color w:val="231F20"/>
          <w:sz w:val="21"/>
        </w:rPr>
        <w:t>建立种群增长模型</w:t>
      </w:r>
    </w:p>
    <w:p>
      <w:pPr>
        <w:pStyle w:val="BodyText"/>
        <w:spacing w:before="147" w:line="328" w:lineRule="auto"/>
        <w:ind w:left="390" w:right="220" w:firstLine="480"/>
        <w:jc w:val="both"/>
      </w:pPr>
      <w:r>
        <w:rPr>
          <w:color w:val="231F20"/>
        </w:rPr>
        <w:t>情境：根据实验设计，学生分组对培养液中酵母细胞数量的变化进行了连续观察和计数。各实验小组按教师提出的要求以时间为横坐标，酵母细胞数量为纵坐标，绘制了酵母细胞数量随时间变化曲线图。</w:t>
      </w:r>
    </w:p>
    <w:p>
      <w:pPr>
        <w:pStyle w:val="BodyText"/>
        <w:spacing w:line="302" w:lineRule="exact"/>
        <w:ind w:left="870"/>
      </w:pPr>
      <w:r>
        <w:rPr>
          <w:color w:val="231F20"/>
        </w:rPr>
        <w:t>教师请各小组展示并描述酵母种群中细胞数量变化的曲线。</w:t>
      </w:r>
    </w:p>
    <w:p>
      <w:pPr>
        <w:pStyle w:val="BodyText"/>
        <w:spacing w:before="112" w:line="328" w:lineRule="auto"/>
        <w:ind w:left="390" w:right="238" w:firstLine="480"/>
        <w:jc w:val="both"/>
      </w:pPr>
      <w:r>
        <w:rPr>
          <w:color w:val="231F20"/>
        </w:rPr>
        <w:t>各组的曲线几乎都显示，开始时酵母细胞数量随时间延长逐渐增加，增长速率逐渐加大，但一段时间后酵母种群大小逐渐稳定，增长速率趋于零，如图</w:t>
      </w:r>
      <w:r>
        <w:rPr>
          <w:rFonts w:ascii="Times New Roman" w:eastAsia="Times New Roman"/>
          <w:color w:val="231F20"/>
        </w:rPr>
        <w:t xml:space="preserve">2 </w:t>
      </w:r>
      <w:r>
        <w:rPr>
          <w:color w:val="231F20"/>
        </w:rPr>
        <w:t>甲。</w:t>
      </w:r>
    </w:p>
    <w:p>
      <w:pPr>
        <w:pStyle w:val="BodyText"/>
        <w:spacing w:line="328" w:lineRule="auto"/>
        <w:ind w:left="270" w:right="230" w:firstLine="600"/>
        <w:jc w:val="both"/>
      </w:pPr>
      <w:r>
        <w:rPr>
          <w:color w:val="231F20"/>
        </w:rPr>
        <w:t>教师进行分析、引导：各组得到的生长曲线都很接近，说明该曲线代表了在有限空间中种群增长的共性。这些曲线的形状似字母“</w:t>
      </w:r>
      <w:r>
        <w:rPr>
          <w:rFonts w:ascii="Times New Roman" w:eastAsia="Times New Roman" w:hAnsi="Times New Roman"/>
          <w:color w:val="231F20"/>
          <w:w w:val="99"/>
        </w:rPr>
        <w:t>S</w:t>
      </w:r>
      <w:r>
        <w:rPr>
          <w:color w:val="231F20"/>
        </w:rPr>
        <w:t>”，因此称为“</w:t>
      </w:r>
      <w:r>
        <w:rPr>
          <w:rFonts w:ascii="Times New Roman" w:eastAsia="Times New Roman" w:hAnsi="Times New Roman"/>
          <w:color w:val="231F20"/>
          <w:w w:val="99"/>
        </w:rPr>
        <w:t>S</w:t>
      </w:r>
      <w:r>
        <w:rPr>
          <w:color w:val="231F20"/>
        </w:rPr>
        <w:t>”型曲线。请分析哪些因素影响酵母细胞数量的变化。</w:t>
      </w:r>
    </w:p>
    <w:p>
      <w:pPr>
        <w:spacing w:after="0" w:line="328" w:lineRule="auto"/>
        <w:jc w:val="both"/>
        <w:sectPr>
          <w:pgSz w:w="10780" w:h="15090"/>
          <w:pgMar w:top="1260" w:right="1460" w:bottom="1400" w:left="1480" w:header="989" w:footer="1217"/>
          <w:cols w:space="708"/>
        </w:sectPr>
      </w:pPr>
    </w:p>
    <w:p>
      <w:pPr>
        <w:spacing w:before="45" w:line="211" w:lineRule="auto"/>
        <w:ind w:left="1553" w:right="1712" w:firstLine="0"/>
        <w:jc w:val="both"/>
        <w:rPr>
          <w:rFonts w:ascii="Microsoft New Tai Lue" w:eastAsia="Microsoft New Tai Lue" w:hAnsi="Microsoft New Tai Lue" w:cs="Microsoft New Tai Lue"/>
          <w:sz w:val="17"/>
          <w:szCs w:val="17"/>
        </w:rPr>
      </w:pPr>
      <w:r>
        <w:pict>
          <v:group id="_x0000_s1110" style="width:84.85pt;height:71.4pt;margin-top:1.24pt;margin-left:164.05pt;mso-position-horizontal-relative:page;position:absolute;z-index:-251648000" coordorigin="3281,25" coordsize="1697,1428">
            <v:shape id="_x0000_s1111" style="width:1573;height:1305;left:3317;position:absolute;top:112" coordorigin="3317,112" coordsize="1573,1305" path="m3317,112l3317,1416,4890,1416e" filled="f" stroked="t" strokecolor="#231f20" strokeweight="0.49pt">
              <v:stroke dashstyle="solid"/>
              <v:path arrowok="t"/>
            </v:shape>
            <v:shape id="_x0000_s1112" style="width:1697;height:1428;left:3281;position:absolute;top:24" coordorigin="3281,25" coordsize="1697,1428" path="m3353,142l3345,122,3330,85,3317,25,3304,85,3281,142,3282,143,3317,122,3352,143,3353,142m4977,1416l4917,1403,4860,1380,4859,1381,4880,1416,4859,1452,4860,1452,4917,1429,4977,1416e" filled="t" fillcolor="#231f20" stroked="f">
              <v:fill type="solid"/>
              <v:path arrowok="t"/>
            </v:shape>
            <v:shape id="_x0000_s1113" style="width:1342;height:1251;left:3312;position:absolute;top:152" coordorigin="3312,152" coordsize="1342,1251" path="m3312,1398l3449,1403,3529,1387,3583,1333,3641,1226,3685,1128,3712,1065,3742,994,3774,918,3809,838,3845,755,3884,673,3924,593,3966,516,4009,444,4053,379,4097,323,4143,278,4359,177,4508,152,4614,153,4654,158e" filled="f" stroked="t" strokecolor="#231f20" strokeweight="0.49pt">
              <v:stroke dashstyle="solid"/>
              <v:path arrowok="t"/>
            </v:shape>
          </v:group>
        </w:pict>
      </w:r>
      <w:r>
        <w:rPr>
          <w:rFonts w:ascii="Microsoft New Tai Lue" w:eastAsia="Microsoft New Tai Lue" w:hAnsi="Microsoft New Tai Lue" w:cs="Microsoft New Tai Lue"/>
          <w:color w:val="231F20"/>
          <w:w w:val="218"/>
          <w:sz w:val="17"/>
          <w:szCs w:val="17"/>
        </w:rPr>
        <w:t xml:space="preserve">ᦸ </w:t>
      </w:r>
      <w:r>
        <w:rPr>
          <w:rFonts w:ascii="Iskoola Pota" w:eastAsia="Iskoola Pota" w:hAnsi="Iskoola Pota" w:cs="Iskoola Pota"/>
          <w:color w:val="231F20"/>
          <w:w w:val="160"/>
          <w:sz w:val="17"/>
          <w:szCs w:val="17"/>
          <w:cs/>
          <w:lang w:bidi="si-LK"/>
        </w:rPr>
        <w:t>ඇ</w:t>
      </w:r>
      <w:r>
        <w:rPr>
          <w:rFonts w:ascii="Microsoft New Tai Lue" w:eastAsia="Microsoft New Tai Lue" w:hAnsi="Microsoft New Tai Lue" w:cs="Microsoft New Tai Lue"/>
          <w:color w:val="231F20"/>
          <w:w w:val="160"/>
          <w:sz w:val="17"/>
          <w:szCs w:val="17"/>
        </w:rPr>
        <w:t xml:space="preserve"> </w:t>
      </w:r>
      <w:r>
        <w:rPr>
          <w:rFonts w:ascii="Nyala" w:eastAsia="Nyala" w:hAnsi="Nyala" w:cs="Nyala"/>
          <w:color w:val="231F20"/>
          <w:w w:val="160"/>
          <w:sz w:val="17"/>
          <w:szCs w:val="17"/>
          <w:cs/>
          <w:lang w:bidi="am-ET"/>
        </w:rPr>
        <w:t>ጺ</w:t>
      </w:r>
      <w:r>
        <w:rPr>
          <w:rFonts w:ascii="Microsoft New Tai Lue" w:eastAsia="Microsoft New Tai Lue" w:hAnsi="Microsoft New Tai Lue" w:cs="Microsoft New Tai Lue"/>
          <w:color w:val="231F20"/>
          <w:w w:val="160"/>
          <w:sz w:val="17"/>
          <w:szCs w:val="17"/>
        </w:rPr>
        <w:t xml:space="preserve"> ᑊ</w:t>
      </w:r>
    </w:p>
    <w:p>
      <w:pPr>
        <w:spacing w:before="0" w:line="189" w:lineRule="exact"/>
        <w:ind w:left="0" w:right="158" w:firstLine="0"/>
        <w:jc w:val="center"/>
        <w:rPr>
          <w:rFonts w:ascii="Microsoft New Tai Lue" w:eastAsia="Microsoft New Tai Lue" w:hAnsi="Microsoft New Tai Lue" w:cs="Microsoft New Tai Lue"/>
          <w:sz w:val="17"/>
          <w:szCs w:val="17"/>
        </w:rPr>
      </w:pPr>
      <w:r>
        <w:rPr>
          <w:rFonts w:ascii="Microsoft New Tai Lue" w:eastAsia="Microsoft New Tai Lue" w:hAnsi="Microsoft New Tai Lue" w:cs="Microsoft New Tai Lue"/>
          <w:color w:val="231F20"/>
          <w:w w:val="160"/>
          <w:sz w:val="17"/>
          <w:szCs w:val="17"/>
        </w:rPr>
        <w:t>஝</w:t>
      </w:r>
    </w:p>
    <w:p>
      <w:pPr>
        <w:spacing w:before="0" w:line="209" w:lineRule="exact"/>
        <w:ind w:left="0" w:right="158" w:firstLine="0"/>
        <w:jc w:val="center"/>
        <w:rPr>
          <w:rFonts w:ascii="Microsoft New Tai Lue" w:eastAsia="Microsoft New Tai Lue" w:hAnsi="Microsoft New Tai Lue" w:cs="Microsoft New Tai Lue"/>
          <w:sz w:val="17"/>
          <w:szCs w:val="17"/>
        </w:rPr>
      </w:pPr>
      <w:r>
        <w:rPr>
          <w:rFonts w:ascii="Microsoft New Tai Lue" w:eastAsia="Microsoft New Tai Lue" w:hAnsi="Microsoft New Tai Lue" w:cs="Microsoft New Tai Lue"/>
          <w:color w:val="231F20"/>
          <w:w w:val="181"/>
          <w:sz w:val="17"/>
          <w:szCs w:val="17"/>
        </w:rPr>
        <w:t>᧚</w:t>
      </w:r>
    </w:p>
    <w:p>
      <w:pPr>
        <w:tabs>
          <w:tab w:val="left" w:pos="3092"/>
        </w:tabs>
        <w:spacing w:before="172"/>
        <w:ind w:left="1666" w:right="0" w:firstLine="0"/>
        <w:jc w:val="center"/>
        <w:rPr>
          <w:rFonts w:ascii="Microsoft New Tai Lue" w:eastAsia="Microsoft New Tai Lue" w:hAnsi="Microsoft New Tai Lue" w:cs="Microsoft New Tai Lue"/>
          <w:sz w:val="17"/>
          <w:szCs w:val="17"/>
        </w:rPr>
      </w:pPr>
      <w:r>
        <w:rPr>
          <w:rFonts w:ascii="Times New Roman" w:eastAsia="Times New Roman" w:hAnsi="Times New Roman" w:cs="Times New Roman"/>
          <w:i/>
          <w:color w:val="231F20"/>
          <w:w w:val="125"/>
          <w:position w:val="10"/>
          <w:sz w:val="17"/>
          <w:szCs w:val="17"/>
        </w:rPr>
        <w:t>O</w:t>
        <w:tab/>
      </w:r>
      <w:r>
        <w:rPr>
          <w:rFonts w:ascii="Microsoft New Tai Lue" w:eastAsia="Microsoft New Tai Lue" w:hAnsi="Microsoft New Tai Lue" w:cs="Microsoft New Tai Lue"/>
          <w:color w:val="231F20"/>
          <w:spacing w:val="-107"/>
          <w:w w:val="140"/>
          <w:sz w:val="17"/>
          <w:szCs w:val="17"/>
        </w:rPr>
        <w:t>௑ᫎ</w:t>
      </w:r>
    </w:p>
    <w:p>
      <w:pPr>
        <w:spacing w:before="80"/>
        <w:ind w:left="1685" w:right="0" w:firstLine="0"/>
        <w:jc w:val="center"/>
        <w:rPr>
          <w:rFonts w:ascii="Microsoft New Tai Lue" w:eastAsia="Microsoft New Tai Lue" w:hAnsi="Microsoft New Tai Lue" w:cs="Microsoft New Tai Lue"/>
          <w:sz w:val="17"/>
          <w:szCs w:val="17"/>
        </w:rPr>
      </w:pPr>
      <w:r>
        <w:rPr>
          <w:rFonts w:ascii="Microsoft New Tai Lue" w:eastAsia="Microsoft New Tai Lue" w:hAnsi="Microsoft New Tai Lue" w:cs="Microsoft New Tai Lue"/>
          <w:color w:val="231F20"/>
          <w:w w:val="160"/>
          <w:sz w:val="17"/>
          <w:szCs w:val="17"/>
        </w:rPr>
        <w:t>ႁ</w:t>
      </w:r>
    </w:p>
    <w:p>
      <w:pPr>
        <w:spacing w:before="68" w:line="211" w:lineRule="auto"/>
        <w:ind w:left="1021" w:right="3148" w:firstLine="0"/>
        <w:jc w:val="both"/>
        <w:rPr>
          <w:rFonts w:ascii="Microsoft New Tai Lue" w:eastAsia="Microsoft New Tai Lue" w:hAnsi="Microsoft New Tai Lue" w:cs="Microsoft New Tai Lue"/>
          <w:sz w:val="17"/>
          <w:szCs w:val="17"/>
        </w:rPr>
      </w:pPr>
      <w:r>
        <w:br w:type="column"/>
      </w:r>
      <w:r>
        <w:rPr>
          <w:rFonts w:ascii="Microsoft New Tai Lue" w:eastAsia="Microsoft New Tai Lue" w:hAnsi="Microsoft New Tai Lue" w:cs="Microsoft New Tai Lue"/>
          <w:color w:val="231F20"/>
          <w:w w:val="218"/>
          <w:sz w:val="17"/>
          <w:szCs w:val="17"/>
        </w:rPr>
        <w:t xml:space="preserve">ᦸ </w:t>
      </w:r>
      <w:r>
        <w:rPr>
          <w:rFonts w:ascii="Iskoola Pota" w:eastAsia="Iskoola Pota" w:hAnsi="Iskoola Pota" w:cs="Iskoola Pota"/>
          <w:color w:val="231F20"/>
          <w:w w:val="160"/>
          <w:sz w:val="17"/>
          <w:szCs w:val="17"/>
          <w:cs/>
          <w:lang w:bidi="si-LK"/>
        </w:rPr>
        <w:t>ඇ</w:t>
      </w:r>
      <w:r>
        <w:rPr>
          <w:rFonts w:ascii="Microsoft New Tai Lue" w:eastAsia="Microsoft New Tai Lue" w:hAnsi="Microsoft New Tai Lue" w:cs="Microsoft New Tai Lue"/>
          <w:color w:val="231F20"/>
          <w:w w:val="160"/>
          <w:sz w:val="17"/>
          <w:szCs w:val="17"/>
        </w:rPr>
        <w:t xml:space="preserve"> </w:t>
      </w:r>
      <w:r>
        <w:rPr>
          <w:rFonts w:ascii="Nyala" w:eastAsia="Nyala" w:hAnsi="Nyala" w:cs="Nyala"/>
          <w:color w:val="231F20"/>
          <w:w w:val="160"/>
          <w:sz w:val="17"/>
          <w:szCs w:val="17"/>
          <w:cs/>
          <w:lang w:bidi="am-ET"/>
        </w:rPr>
        <w:t>ጺ</w:t>
      </w:r>
      <w:r>
        <w:rPr>
          <w:rFonts w:ascii="Microsoft New Tai Lue" w:eastAsia="Microsoft New Tai Lue" w:hAnsi="Microsoft New Tai Lue" w:cs="Microsoft New Tai Lue"/>
          <w:color w:val="231F20"/>
          <w:w w:val="160"/>
          <w:sz w:val="17"/>
          <w:szCs w:val="17"/>
        </w:rPr>
        <w:t xml:space="preserve"> ᑊ</w:t>
      </w:r>
    </w:p>
    <w:p>
      <w:pPr>
        <w:spacing w:before="0" w:line="189" w:lineRule="exact"/>
        <w:ind w:left="1021" w:right="0" w:firstLine="0"/>
        <w:jc w:val="left"/>
        <w:rPr>
          <w:rFonts w:ascii="Microsoft New Tai Lue" w:eastAsia="Microsoft New Tai Lue" w:hAnsi="Microsoft New Tai Lue" w:cs="Microsoft New Tai Lue"/>
          <w:sz w:val="17"/>
          <w:szCs w:val="17"/>
        </w:rPr>
      </w:pPr>
      <w:r>
        <w:pict>
          <v:group id="_x0000_s1114" style="width:84.85pt;height:71.4pt;margin-top:-41.29pt;margin-left:310.59pt;mso-position-horizontal-relative:page;position:absolute;z-index:-251646976" coordorigin="6212,-826" coordsize="1697,1428">
            <v:shape id="_x0000_s1115" style="width:1573;height:1305;left:6247;position:absolute;top:-739" coordorigin="6248,-738" coordsize="1573,1305" path="m6248,-738l6248,566,7821,566e" filled="f" stroked="t" strokecolor="#231f20" strokeweight="0.49pt">
              <v:stroke dashstyle="solid"/>
              <v:path arrowok="t"/>
            </v:shape>
            <v:shape id="_x0000_s1116" style="width:1697;height:1428;left:6211;position:absolute;top:-826" coordorigin="6212,-826" coordsize="1697,1428" path="m6284,-708l6276,-729,6261,-766,6248,-826,6235,-766,6212,-708,6213,-707,6248,-729,6283,-707,6284,-708m7908,566l7848,553,7791,530,7789,531,7811,566,7789,601,7791,602,7848,579,7908,566e" filled="t" fillcolor="#231f20" stroked="f">
              <v:fill type="solid"/>
              <v:path arrowok="t"/>
            </v:shape>
            <v:shape id="_x0000_s1117" style="width:1156;height:1131;left:6255;position:absolute;top:-583" coordorigin="6255,-583" coordsize="1156,1131" path="m6255,548l6495,544,6647,518,6777,446,6949,306,7160,50,7303,-243,7385,-483,7410,-583e" filled="f" stroked="t" strokecolor="#231f20" strokeweight="0.49pt">
              <v:stroke dashstyle="solid"/>
              <v:path arrowok="t"/>
            </v:shape>
          </v:group>
        </w:pict>
      </w:r>
      <w:r>
        <w:rPr>
          <w:rFonts w:ascii="Microsoft New Tai Lue" w:eastAsia="Microsoft New Tai Lue" w:hAnsi="Microsoft New Tai Lue" w:cs="Microsoft New Tai Lue"/>
          <w:color w:val="231F20"/>
          <w:w w:val="160"/>
          <w:sz w:val="17"/>
          <w:szCs w:val="17"/>
        </w:rPr>
        <w:t>஝</w:t>
      </w:r>
    </w:p>
    <w:p>
      <w:pPr>
        <w:spacing w:before="0" w:line="209" w:lineRule="exact"/>
        <w:ind w:left="1021" w:right="0" w:firstLine="0"/>
        <w:jc w:val="left"/>
        <w:rPr>
          <w:rFonts w:ascii="Microsoft New Tai Lue" w:eastAsia="Microsoft New Tai Lue" w:hAnsi="Microsoft New Tai Lue" w:cs="Microsoft New Tai Lue"/>
          <w:sz w:val="17"/>
          <w:szCs w:val="17"/>
        </w:rPr>
      </w:pPr>
      <w:r>
        <w:rPr>
          <w:rFonts w:ascii="Microsoft New Tai Lue" w:eastAsia="Microsoft New Tai Lue" w:hAnsi="Microsoft New Tai Lue" w:cs="Microsoft New Tai Lue"/>
          <w:color w:val="231F20"/>
          <w:w w:val="181"/>
          <w:sz w:val="17"/>
          <w:szCs w:val="17"/>
        </w:rPr>
        <w:t>᧚</w:t>
      </w:r>
    </w:p>
    <w:p>
      <w:pPr>
        <w:tabs>
          <w:tab w:val="left" w:pos="2534"/>
        </w:tabs>
        <w:spacing w:before="149"/>
        <w:ind w:left="1122" w:right="0" w:firstLine="0"/>
        <w:jc w:val="left"/>
        <w:rPr>
          <w:rFonts w:ascii="Microsoft New Tai Lue" w:eastAsia="Microsoft New Tai Lue" w:hAnsi="Microsoft New Tai Lue" w:cs="Microsoft New Tai Lue"/>
          <w:sz w:val="17"/>
          <w:szCs w:val="17"/>
        </w:rPr>
      </w:pPr>
      <w:r>
        <w:rPr>
          <w:rFonts w:ascii="Times New Roman" w:eastAsia="Times New Roman" w:hAnsi="Times New Roman" w:cs="Times New Roman"/>
          <w:i/>
          <w:color w:val="231F20"/>
          <w:w w:val="130"/>
          <w:position w:val="10"/>
          <w:sz w:val="17"/>
          <w:szCs w:val="17"/>
        </w:rPr>
        <w:t>O</w:t>
        <w:tab/>
      </w:r>
      <w:r>
        <w:rPr>
          <w:rFonts w:ascii="Microsoft New Tai Lue" w:eastAsia="Microsoft New Tai Lue" w:hAnsi="Microsoft New Tai Lue" w:cs="Microsoft New Tai Lue"/>
          <w:color w:val="231F20"/>
          <w:w w:val="140"/>
          <w:sz w:val="17"/>
          <w:szCs w:val="17"/>
        </w:rPr>
        <w:t>௑ᫎ</w:t>
      </w:r>
    </w:p>
    <w:p>
      <w:pPr>
        <w:spacing w:before="80"/>
        <w:ind w:left="0" w:right="293" w:firstLine="0"/>
        <w:jc w:val="center"/>
        <w:rPr>
          <w:rFonts w:ascii="Microsoft New Tai Lue" w:hAnsi="Microsoft New Tai Lue"/>
          <w:sz w:val="17"/>
        </w:rPr>
      </w:pPr>
      <w:r>
        <w:rPr>
          <w:rFonts w:ascii="Microsoft New Tai Lue" w:hAnsi="Microsoft New Tai Lue"/>
          <w:color w:val="231F20"/>
          <w:w w:val="160"/>
          <w:sz w:val="17"/>
        </w:rPr>
        <w:t>˳</w:t>
      </w:r>
    </w:p>
    <w:p>
      <w:pPr>
        <w:spacing w:after="0"/>
        <w:jc w:val="center"/>
        <w:rPr>
          <w:rFonts w:ascii="Microsoft New Tai Lue" w:hAnsi="Microsoft New Tai Lue"/>
          <w:sz w:val="17"/>
        </w:rPr>
        <w:sectPr>
          <w:type w:val="continuous"/>
          <w:pgSz w:w="10780" w:h="15090"/>
          <w:pgMar w:top="1420" w:right="1460" w:bottom="280" w:left="1480" w:header="708" w:footer="708"/>
          <w:cols w:num="2" w:space="708" w:equalWidth="0">
            <w:col w:w="3445" w:space="40"/>
            <w:col w:w="4355"/>
          </w:cols>
        </w:sectPr>
      </w:pPr>
    </w:p>
    <w:p>
      <w:pPr>
        <w:pStyle w:val="BodyText"/>
        <w:spacing w:before="6"/>
        <w:rPr>
          <w:rFonts w:ascii="Microsoft New Tai Lue"/>
          <w:sz w:val="9"/>
        </w:rPr>
      </w:pPr>
    </w:p>
    <w:p>
      <w:pPr>
        <w:spacing w:before="73"/>
        <w:ind w:left="150" w:right="1" w:firstLine="0"/>
        <w:jc w:val="center"/>
        <w:rPr>
          <w:sz w:val="20"/>
        </w:rPr>
      </w:pPr>
      <w:r>
        <w:rPr>
          <w:color w:val="231F20"/>
          <w:sz w:val="20"/>
        </w:rPr>
        <w:t>图2 酵母种群增长曲线</w:t>
      </w:r>
    </w:p>
    <w:p>
      <w:pPr>
        <w:pStyle w:val="BodyText"/>
        <w:spacing w:before="99" w:line="328" w:lineRule="auto"/>
        <w:ind w:left="390" w:right="234" w:firstLine="480"/>
        <w:jc w:val="both"/>
      </w:pPr>
      <w:r>
        <w:rPr>
          <w:color w:val="231F20"/>
        </w:rPr>
        <w:t>学生开展讨论、交流：在酵母培养的初始阶段，由于营养和空间充足，酵母细胞数量迅速增加。随着细胞数量的增多，营养物不断消耗，有害代谢产物逐渐积累，培养基</w:t>
      </w:r>
      <w:r>
        <w:rPr>
          <w:rFonts w:ascii="Times New Roman" w:eastAsia="Times New Roman"/>
          <w:color w:val="231F20"/>
        </w:rPr>
        <w:t xml:space="preserve">pH </w:t>
      </w:r>
      <w:r>
        <w:rPr>
          <w:color w:val="231F20"/>
        </w:rPr>
        <w:t>发生改变，酵母细胞数量逐步接近了环境容纳量，限制了种群的增长。</w:t>
      </w:r>
    </w:p>
    <w:p>
      <w:pPr>
        <w:pStyle w:val="BodyText"/>
        <w:spacing w:line="328" w:lineRule="auto"/>
        <w:ind w:left="390" w:right="239" w:firstLine="480"/>
      </w:pPr>
      <w:r>
        <w:rPr>
          <w:color w:val="231F20"/>
        </w:rPr>
        <w:t>教师借势引导：在自然条件下，除上述因素外，还有哪些因素会影响种群的增长？（引出生物与环境相适应的观念）</w:t>
      </w:r>
    </w:p>
    <w:p>
      <w:pPr>
        <w:pStyle w:val="BodyText"/>
        <w:spacing w:line="328" w:lineRule="auto"/>
        <w:ind w:left="390" w:right="119" w:firstLine="480"/>
      </w:pPr>
      <w:r>
        <w:rPr>
          <w:color w:val="231F20"/>
        </w:rPr>
        <w:t>教师进一步提问：如果在理想的无限环境中，即资源和空间十分充足，没有天敌和其他灾害等情况下，种群增长的态势还会呈“</w:t>
      </w:r>
      <w:r>
        <w:rPr>
          <w:rFonts w:ascii="Times New Roman" w:eastAsia="Times New Roman" w:hAnsi="Times New Roman"/>
          <w:color w:val="231F20"/>
        </w:rPr>
        <w:t>S</w:t>
      </w:r>
      <w:r>
        <w:rPr>
          <w:color w:val="231F20"/>
        </w:rPr>
        <w:t>”</w:t>
      </w:r>
    </w:p>
    <w:p>
      <w:pPr>
        <w:spacing w:after="0" w:line="328" w:lineRule="auto"/>
        <w:sectPr>
          <w:type w:val="continuous"/>
          <w:pgSz w:w="10780" w:h="15090"/>
          <w:pgMar w:top="1420" w:right="1460" w:bottom="280" w:left="1480" w:header="708" w:footer="708"/>
          <w:cols w:space="708"/>
        </w:sectPr>
      </w:pPr>
    </w:p>
    <w:p>
      <w:pPr>
        <w:pStyle w:val="BodyText"/>
        <w:rPr>
          <w:sz w:val="20"/>
        </w:rPr>
      </w:pPr>
    </w:p>
    <w:p>
      <w:pPr>
        <w:pStyle w:val="BodyText"/>
        <w:spacing w:before="204"/>
        <w:ind w:left="220"/>
        <w:jc w:val="both"/>
      </w:pPr>
      <w:r>
        <w:rPr>
          <w:color w:val="231F20"/>
        </w:rPr>
        <w:t>型曲线吗？（引出“</w:t>
      </w:r>
      <w:r>
        <w:rPr>
          <w:rFonts w:ascii="Times New Roman" w:eastAsia="Times New Roman" w:hAnsi="Times New Roman"/>
          <w:color w:val="231F20"/>
        </w:rPr>
        <w:t>J</w:t>
      </w:r>
      <w:r>
        <w:rPr>
          <w:color w:val="231F20"/>
        </w:rPr>
        <w:t>”型生长曲线，即图</w:t>
      </w:r>
      <w:r>
        <w:rPr>
          <w:rFonts w:ascii="Times New Roman" w:eastAsia="Times New Roman" w:hAnsi="Times New Roman"/>
          <w:color w:val="231F20"/>
        </w:rPr>
        <w:t xml:space="preserve">2 </w:t>
      </w:r>
      <w:r>
        <w:rPr>
          <w:color w:val="231F20"/>
        </w:rPr>
        <w:t>乙的讨论）</w:t>
      </w:r>
    </w:p>
    <w:p>
      <w:pPr>
        <w:pStyle w:val="BodyText"/>
        <w:spacing w:before="113" w:line="328" w:lineRule="auto"/>
        <w:ind w:left="220" w:right="399" w:firstLine="480"/>
        <w:jc w:val="both"/>
      </w:pPr>
      <w:r>
        <w:rPr>
          <w:color w:val="231F20"/>
        </w:rPr>
        <w:t>这种情况下，假定酵母菌种群的起始数量为</w:t>
      </w:r>
      <w:r>
        <w:rPr>
          <w:rFonts w:ascii="Times New Roman" w:eastAsia="Times New Roman" w:hAnsi="Times New Roman"/>
          <w:i/>
          <w:color w:val="231F20"/>
          <w:position w:val="1"/>
        </w:rPr>
        <w:t>N</w:t>
      </w:r>
      <w:r>
        <w:rPr>
          <w:rFonts w:ascii="Times New Roman" w:eastAsia="Times New Roman" w:hAnsi="Times New Roman"/>
          <w:color w:val="231F20"/>
          <w:position w:val="1"/>
          <w:vertAlign w:val="subscript"/>
        </w:rPr>
        <w:t>0</w:t>
      </w:r>
      <w:r>
        <w:rPr>
          <w:color w:val="231F20"/>
          <w:vertAlign w:val="baseline"/>
        </w:rPr>
        <w:t>，一定时间间隔后为</w:t>
      </w:r>
      <w:r>
        <w:rPr>
          <w:rFonts w:ascii="Times New Roman" w:eastAsia="Times New Roman" w:hAnsi="Times New Roman"/>
          <w:i/>
          <w:color w:val="231F20"/>
          <w:position w:val="1"/>
          <w:vertAlign w:val="baseline"/>
        </w:rPr>
        <w:t>N</w:t>
      </w:r>
      <w:r>
        <w:rPr>
          <w:rFonts w:ascii="Times New Roman" w:eastAsia="Times New Roman" w:hAnsi="Times New Roman"/>
          <w:color w:val="231F20"/>
          <w:position w:val="1"/>
          <w:vertAlign w:val="subscript"/>
        </w:rPr>
        <w:t>1</w:t>
      </w:r>
      <w:r>
        <w:rPr>
          <w:color w:val="231F20"/>
          <w:vertAlign w:val="baseline"/>
        </w:rPr>
        <w:t>，这样可以得到当前时刻与前一时刻种群数量的比值，即种群增长的倍数</w:t>
      </w:r>
      <w:r>
        <w:rPr>
          <w:rFonts w:ascii="Times New Roman" w:eastAsia="Times New Roman" w:hAnsi="Times New Roman"/>
          <w:color w:val="231F20"/>
          <w:position w:val="1"/>
          <w:vertAlign w:val="baseline"/>
        </w:rPr>
        <w:t>λ</w:t>
      </w:r>
      <w:r>
        <w:rPr>
          <w:color w:val="231F20"/>
          <w:vertAlign w:val="baseline"/>
        </w:rPr>
        <w:t>（</w:t>
      </w:r>
      <w:r>
        <w:rPr>
          <w:rFonts w:ascii="Times New Roman" w:eastAsia="Times New Roman" w:hAnsi="Times New Roman"/>
          <w:color w:val="231F20"/>
          <w:position w:val="1"/>
          <w:vertAlign w:val="baseline"/>
        </w:rPr>
        <w:t>λ</w:t>
      </w:r>
      <w:r>
        <w:rPr>
          <w:rFonts w:ascii="Times New Roman" w:eastAsia="Times New Roman" w:hAnsi="Times New Roman"/>
          <w:color w:val="231F20"/>
          <w:vertAlign w:val="baseline"/>
        </w:rPr>
        <w:t xml:space="preserve">= </w:t>
      </w:r>
      <w:r>
        <w:rPr>
          <w:rFonts w:ascii="Times New Roman" w:eastAsia="Times New Roman" w:hAnsi="Times New Roman"/>
          <w:i/>
          <w:color w:val="231F20"/>
          <w:position w:val="1"/>
          <w:vertAlign w:val="baseline"/>
        </w:rPr>
        <w:t>N</w:t>
      </w:r>
      <w:r>
        <w:rPr>
          <w:rFonts w:ascii="Times New Roman" w:eastAsia="Times New Roman" w:hAnsi="Times New Roman"/>
          <w:color w:val="231F20"/>
          <w:position w:val="1"/>
          <w:vertAlign w:val="subscript"/>
        </w:rPr>
        <w:t>1</w:t>
      </w:r>
      <w:r>
        <w:rPr>
          <w:rFonts w:ascii="Times New Roman" w:eastAsia="Times New Roman" w:hAnsi="Times New Roman"/>
          <w:color w:val="231F20"/>
          <w:vertAlign w:val="baseline"/>
        </w:rPr>
        <w:t>/</w:t>
      </w:r>
      <w:r>
        <w:rPr>
          <w:rFonts w:ascii="Times New Roman" w:eastAsia="Times New Roman" w:hAnsi="Times New Roman"/>
          <w:i/>
          <w:color w:val="231F20"/>
          <w:position w:val="1"/>
          <w:vertAlign w:val="baseline"/>
        </w:rPr>
        <w:t>N</w:t>
      </w:r>
      <w:r>
        <w:rPr>
          <w:rFonts w:ascii="Times New Roman" w:eastAsia="Times New Roman" w:hAnsi="Times New Roman"/>
          <w:color w:val="231F20"/>
          <w:position w:val="1"/>
          <w:vertAlign w:val="subscript"/>
        </w:rPr>
        <w:t>0</w:t>
      </w:r>
      <w:r>
        <w:rPr>
          <w:rFonts w:ascii="Times New Roman" w:eastAsia="Times New Roman" w:hAnsi="Times New Roman"/>
          <w:color w:val="231F20"/>
          <w:position w:val="1"/>
          <w:vertAlign w:val="baseline"/>
        </w:rPr>
        <w:t xml:space="preserve"> </w:t>
      </w:r>
      <w:r>
        <w:rPr>
          <w:rFonts w:ascii="Times New Roman" w:eastAsia="Times New Roman" w:hAnsi="Times New Roman"/>
          <w:color w:val="231F20"/>
          <w:vertAlign w:val="baseline"/>
        </w:rPr>
        <w:t xml:space="preserve">= </w:t>
      </w:r>
      <w:r>
        <w:rPr>
          <w:rFonts w:ascii="Times New Roman" w:eastAsia="Times New Roman" w:hAnsi="Times New Roman"/>
          <w:i/>
          <w:color w:val="231F20"/>
          <w:position w:val="1"/>
          <w:vertAlign w:val="baseline"/>
        </w:rPr>
        <w:t>N</w:t>
      </w:r>
      <w:r>
        <w:rPr>
          <w:rFonts w:ascii="Times New Roman" w:eastAsia="Times New Roman" w:hAnsi="Times New Roman"/>
          <w:color w:val="231F20"/>
          <w:position w:val="1"/>
          <w:vertAlign w:val="subscript"/>
        </w:rPr>
        <w:t>2</w:t>
      </w:r>
      <w:r>
        <w:rPr>
          <w:rFonts w:ascii="Times New Roman" w:eastAsia="Times New Roman" w:hAnsi="Times New Roman"/>
          <w:color w:val="231F20"/>
          <w:vertAlign w:val="baseline"/>
        </w:rPr>
        <w:t>/</w:t>
      </w:r>
      <w:r>
        <w:rPr>
          <w:rFonts w:ascii="Times New Roman" w:eastAsia="Times New Roman" w:hAnsi="Times New Roman"/>
          <w:i/>
          <w:color w:val="231F20"/>
          <w:position w:val="1"/>
          <w:vertAlign w:val="baseline"/>
        </w:rPr>
        <w:t>N</w:t>
      </w:r>
      <w:r>
        <w:rPr>
          <w:rFonts w:ascii="Times New Roman" w:eastAsia="Times New Roman" w:hAnsi="Times New Roman"/>
          <w:color w:val="231F20"/>
          <w:position w:val="1"/>
          <w:vertAlign w:val="subscript"/>
        </w:rPr>
        <w:t>1</w:t>
      </w:r>
      <w:r>
        <w:rPr>
          <w:rFonts w:ascii="Times New Roman" w:eastAsia="Times New Roman" w:hAnsi="Times New Roman"/>
          <w:color w:val="231F20"/>
          <w:position w:val="1"/>
          <w:vertAlign w:val="baseline"/>
        </w:rPr>
        <w:t xml:space="preserve"> </w:t>
      </w:r>
      <w:r>
        <w:rPr>
          <w:rFonts w:ascii="Times New Roman" w:eastAsia="Times New Roman" w:hAnsi="Times New Roman"/>
          <w:color w:val="231F20"/>
          <w:vertAlign w:val="baseline"/>
        </w:rPr>
        <w:t xml:space="preserve">= </w:t>
      </w:r>
      <w:r>
        <w:rPr>
          <w:color w:val="231F20"/>
          <w:vertAlign w:val="baseline"/>
        </w:rPr>
        <w:t>…），那么</w:t>
      </w:r>
      <w:r>
        <w:rPr>
          <w:rFonts w:ascii="Times New Roman" w:eastAsia="Times New Roman" w:hAnsi="Times New Roman"/>
          <w:i/>
          <w:color w:val="231F20"/>
          <w:position w:val="1"/>
          <w:vertAlign w:val="baseline"/>
        </w:rPr>
        <w:t xml:space="preserve">t </w:t>
      </w:r>
      <w:r>
        <w:rPr>
          <w:color w:val="231F20"/>
          <w:vertAlign w:val="baseline"/>
        </w:rPr>
        <w:t>个时间间隔后该种群的数量是多少？</w:t>
      </w:r>
    </w:p>
    <w:p>
      <w:pPr>
        <w:spacing w:before="0" w:line="302" w:lineRule="exact"/>
        <w:ind w:left="700" w:right="0" w:firstLine="0"/>
        <w:jc w:val="both"/>
        <w:rPr>
          <w:sz w:val="24"/>
        </w:rPr>
      </w:pPr>
      <w:r>
        <w:pict>
          <v:shape id="_x0000_s1118" type="#_x0000_t202" style="width:26.25pt;height:7.95pt;margin-top:7.54pt;margin-left:258.04pt;mso-position-horizontal-relative:page;position:absolute;z-index:-251645952" filled="f" stroked="f">
            <v:textbox inset="0,0,0,0">
              <w:txbxContent>
                <w:p>
                  <w:pPr>
                    <w:tabs>
                      <w:tab w:val="left" w:pos="454"/>
                    </w:tabs>
                    <w:spacing w:before="0" w:line="158" w:lineRule="exact"/>
                    <w:ind w:left="0" w:right="0" w:firstLine="0"/>
                    <w:jc w:val="left"/>
                    <w:rPr>
                      <w:rFonts w:ascii="Times New Roman"/>
                      <w:sz w:val="14"/>
                    </w:rPr>
                  </w:pPr>
                  <w:r>
                    <w:rPr>
                      <w:rFonts w:ascii="Times New Roman"/>
                      <w:i/>
                      <w:color w:val="231F20"/>
                      <w:sz w:val="14"/>
                    </w:rPr>
                    <w:t>t</w:t>
                    <w:tab/>
                  </w:r>
                  <w:r>
                    <w:rPr>
                      <w:rFonts w:ascii="Times New Roman"/>
                      <w:color w:val="231F20"/>
                      <w:spacing w:val="-20"/>
                      <w:sz w:val="14"/>
                    </w:rPr>
                    <w:t>0</w:t>
                  </w:r>
                </w:p>
              </w:txbxContent>
            </v:textbox>
          </v:shape>
        </w:pict>
      </w:r>
      <w:r>
        <w:rPr>
          <w:color w:val="231F20"/>
          <w:sz w:val="24"/>
        </w:rPr>
        <w:t>学生思考讨论后得出公式：</w:t>
      </w:r>
      <w:r>
        <w:rPr>
          <w:rFonts w:ascii="Times New Roman" w:eastAsia="Times New Roman" w:hAnsi="Times New Roman"/>
          <w:i/>
          <w:color w:val="231F20"/>
          <w:position w:val="1"/>
          <w:sz w:val="24"/>
        </w:rPr>
        <w:t xml:space="preserve">N </w:t>
      </w:r>
      <w:r>
        <w:rPr>
          <w:rFonts w:ascii="Times New Roman" w:eastAsia="Times New Roman" w:hAnsi="Times New Roman"/>
          <w:color w:val="231F20"/>
          <w:sz w:val="24"/>
        </w:rPr>
        <w:t xml:space="preserve">= </w:t>
      </w:r>
      <w:r>
        <w:rPr>
          <w:rFonts w:ascii="Times New Roman" w:eastAsia="Times New Roman" w:hAnsi="Times New Roman"/>
          <w:i/>
          <w:color w:val="231F20"/>
          <w:position w:val="1"/>
          <w:sz w:val="24"/>
        </w:rPr>
        <w:t xml:space="preserve">N </w:t>
      </w:r>
      <w:r>
        <w:rPr>
          <w:rFonts w:ascii="Times New Roman" w:eastAsia="Times New Roman" w:hAnsi="Times New Roman"/>
          <w:color w:val="231F20"/>
          <w:position w:val="1"/>
          <w:sz w:val="24"/>
        </w:rPr>
        <w:t>λ</w:t>
      </w:r>
      <w:r>
        <w:rPr>
          <w:rFonts w:ascii="Times New Roman" w:eastAsia="Times New Roman" w:hAnsi="Times New Roman"/>
          <w:i/>
          <w:color w:val="231F20"/>
          <w:position w:val="1"/>
          <w:sz w:val="24"/>
          <w:vertAlign w:val="superscript"/>
        </w:rPr>
        <w:t>t</w:t>
      </w:r>
      <w:r>
        <w:rPr>
          <w:color w:val="231F20"/>
          <w:sz w:val="24"/>
          <w:vertAlign w:val="baseline"/>
        </w:rPr>
        <w:t>。</w:t>
      </w:r>
    </w:p>
    <w:p>
      <w:pPr>
        <w:pStyle w:val="BodyText"/>
        <w:spacing w:before="112" w:line="328" w:lineRule="auto"/>
        <w:ind w:left="220" w:right="408" w:firstLine="480"/>
      </w:pPr>
      <w:r>
        <w:rPr>
          <w:color w:val="231F20"/>
          <w:spacing w:val="-1"/>
        </w:rPr>
        <w:t>教师将实验数据加以归纳和抽象，提升到从理论上建立种群增长</w:t>
      </w:r>
      <w:r>
        <w:rPr>
          <w:color w:val="231F20"/>
        </w:rPr>
        <w:t>的数学模型的高度（科学思维</w:t>
      </w:r>
      <w:r>
        <w:rPr>
          <w:color w:val="231F20"/>
          <w:spacing w:val="-90"/>
        </w:rPr>
        <w:t>）</w:t>
      </w:r>
      <w:r>
        <w:rPr>
          <w:color w:val="231F20"/>
        </w:rPr>
        <w:t>。</w:t>
      </w:r>
    </w:p>
    <w:p>
      <w:pPr>
        <w:pStyle w:val="BodyText"/>
        <w:spacing w:before="8"/>
        <w:rPr>
          <w:sz w:val="32"/>
        </w:rPr>
      </w:pPr>
    </w:p>
    <w:p>
      <w:pPr>
        <w:pStyle w:val="BodyText"/>
        <w:spacing w:line="328" w:lineRule="auto"/>
        <w:ind w:left="220" w:right="400" w:firstLine="480"/>
        <w:jc w:val="both"/>
      </w:pPr>
      <w:r>
        <w:rPr>
          <w:color w:val="231F20"/>
          <w:position w:val="1"/>
          <w:sz w:val="21"/>
        </w:rPr>
        <w:t>案例</w:t>
      </w:r>
      <w:r>
        <w:rPr>
          <w:rFonts w:ascii="Times New Roman" w:eastAsia="Times New Roman"/>
          <w:b/>
          <w:color w:val="231F20"/>
          <w:position w:val="1"/>
          <w:sz w:val="21"/>
        </w:rPr>
        <w:t xml:space="preserve">4 </w:t>
      </w:r>
      <w:r>
        <w:rPr>
          <w:color w:val="231F20"/>
          <w:position w:val="1"/>
          <w:sz w:val="21"/>
        </w:rPr>
        <w:t xml:space="preserve">评析 </w:t>
      </w:r>
      <w:r>
        <w:rPr>
          <w:color w:val="231F20"/>
        </w:rPr>
        <w:t>有些实验活动如需要较长的时间，可以采用课内外结合的方式开展。教师要对学生的活动提出明确的要求，教会学生科学地观察和记录。在科学研究中，构建数学模型是一种解决实际问题、探索客观规律的有效途径。引导学生构建数学模型，有利于培养透过事物现象揭示其本质特性的洞察力以及简约严密的思维品质，体验由具体到抽象的思维模式转化。</w:t>
      </w:r>
    </w:p>
    <w:p>
      <w:pPr>
        <w:pStyle w:val="BodyText"/>
        <w:spacing w:before="5"/>
        <w:rPr>
          <w:sz w:val="25"/>
        </w:rPr>
      </w:pPr>
    </w:p>
    <w:p>
      <w:pPr>
        <w:tabs>
          <w:tab w:val="left" w:pos="761"/>
        </w:tabs>
        <w:spacing w:before="0"/>
        <w:ind w:left="0" w:right="188" w:firstLine="0"/>
        <w:jc w:val="center"/>
        <w:rPr>
          <w:sz w:val="21"/>
        </w:rPr>
      </w:pPr>
      <w:r>
        <w:rPr>
          <w:color w:val="231F20"/>
          <w:sz w:val="21"/>
        </w:rPr>
        <w:t>案</w:t>
      </w:r>
      <w:r>
        <w:rPr>
          <w:color w:val="231F20"/>
          <w:spacing w:val="26"/>
          <w:sz w:val="21"/>
        </w:rPr>
        <w:t>例</w:t>
      </w:r>
      <w:r>
        <w:rPr>
          <w:rFonts w:ascii="Times New Roman" w:eastAsia="Times New Roman"/>
          <w:b/>
          <w:color w:val="231F20"/>
          <w:sz w:val="21"/>
        </w:rPr>
        <w:t>5</w:t>
        <w:tab/>
      </w:r>
      <w:r>
        <w:rPr>
          <w:color w:val="231F20"/>
          <w:sz w:val="21"/>
        </w:rPr>
        <w:t>检测生物组织中的还原糖、脂肪和蛋白质</w:t>
      </w:r>
    </w:p>
    <w:p>
      <w:pPr>
        <w:pStyle w:val="BodyText"/>
        <w:spacing w:before="1"/>
        <w:rPr>
          <w:sz w:val="18"/>
        </w:rPr>
      </w:pPr>
    </w:p>
    <w:p>
      <w:pPr>
        <w:pStyle w:val="BodyText"/>
        <w:spacing w:line="328" w:lineRule="auto"/>
        <w:ind w:left="220" w:right="287" w:firstLine="480"/>
      </w:pPr>
      <w:r>
        <w:rPr>
          <w:color w:val="231F20"/>
          <w:spacing w:val="-10"/>
        </w:rPr>
        <w:t>高中生物学课程中的一部分实验属于验证性实验。验证性实验有助于学生理解生物学重要概念、获得相应的实验技能。在精心规划和设计</w:t>
      </w:r>
      <w:r>
        <w:rPr>
          <w:color w:val="231F20"/>
          <w:spacing w:val="-12"/>
        </w:rPr>
        <w:t>下，这类活动中还可融入探究成分，以发展学生的科学思维和探究能力。</w:t>
      </w:r>
      <w:r>
        <w:rPr>
          <w:color w:val="231F20"/>
        </w:rPr>
        <w:t>例如，“检测生物组织中的还原糖、脂肪和蛋白质”实验可参考如下设计。</w:t>
      </w:r>
    </w:p>
    <w:p>
      <w:pPr>
        <w:pStyle w:val="ListParagraph"/>
        <w:numPr>
          <w:ilvl w:val="0"/>
          <w:numId w:val="3"/>
        </w:numPr>
        <w:tabs>
          <w:tab w:val="left" w:pos="1001"/>
        </w:tabs>
        <w:spacing w:before="0" w:after="0" w:line="301" w:lineRule="exact"/>
        <w:ind w:left="1000" w:right="0" w:hanging="301"/>
        <w:jc w:val="left"/>
        <w:rPr>
          <w:sz w:val="24"/>
        </w:rPr>
      </w:pPr>
      <w:r>
        <w:rPr>
          <w:color w:val="231F20"/>
          <w:sz w:val="24"/>
        </w:rPr>
        <w:t>在实验材料的选取上预留出探究空间</w:t>
      </w:r>
    </w:p>
    <w:p>
      <w:pPr>
        <w:pStyle w:val="BodyText"/>
        <w:spacing w:before="112" w:line="328" w:lineRule="auto"/>
        <w:ind w:left="220" w:right="408" w:firstLine="480"/>
        <w:jc w:val="both"/>
      </w:pPr>
      <w:r>
        <w:rPr>
          <w:color w:val="231F20"/>
        </w:rPr>
        <w:t>课前，教师为每组学生准备梨、花生、大豆三类典型的实验材料，提供规范的操作方法；此外，还可为全班准备面粉、番茄、马铃薯、小白菜、甘蓝叶、甘蔗汁、葡萄糖溶液、食用油等当地易获取的材料，为部分学生自主选择实验材料尝试探究提供可能。</w:t>
      </w:r>
    </w:p>
    <w:p>
      <w:pPr>
        <w:spacing w:after="0" w:line="328" w:lineRule="auto"/>
        <w:jc w:val="both"/>
        <w:sectPr>
          <w:pgSz w:w="10780" w:h="15090"/>
          <w:pgMar w:top="1260" w:right="1460" w:bottom="1400" w:left="1480" w:header="1029" w:footer="1217"/>
          <w:cols w:space="708"/>
        </w:sectPr>
      </w:pPr>
    </w:p>
    <w:p>
      <w:pPr>
        <w:pStyle w:val="BodyText"/>
        <w:spacing w:before="3"/>
        <w:rPr>
          <w:sz w:val="29"/>
        </w:rPr>
      </w:pPr>
    </w:p>
    <w:p>
      <w:pPr>
        <w:pStyle w:val="ListParagraph"/>
        <w:numPr>
          <w:ilvl w:val="0"/>
          <w:numId w:val="3"/>
        </w:numPr>
        <w:tabs>
          <w:tab w:val="left" w:pos="1171"/>
        </w:tabs>
        <w:spacing w:before="76" w:after="0" w:line="240" w:lineRule="auto"/>
        <w:ind w:left="1170" w:right="0" w:hanging="301"/>
        <w:jc w:val="both"/>
        <w:rPr>
          <w:sz w:val="24"/>
        </w:rPr>
      </w:pPr>
      <w:r>
        <w:rPr>
          <w:color w:val="231F20"/>
          <w:sz w:val="24"/>
        </w:rPr>
        <w:t>重视对实验设计的分析，引导科学探究</w:t>
      </w:r>
    </w:p>
    <w:p>
      <w:pPr>
        <w:pStyle w:val="BodyText"/>
        <w:spacing w:before="112" w:line="328" w:lineRule="auto"/>
        <w:ind w:left="390" w:right="238" w:firstLine="480"/>
        <w:jc w:val="both"/>
      </w:pPr>
      <w:r>
        <w:rPr>
          <w:color w:val="231F20"/>
        </w:rPr>
        <w:t>学生按照实验操作检测发现梨中有还原糖，花生含脂肪，大豆含蛋白质。教师引导学生思考：在实验中为什么选择梨、花生、大豆作为典型的实验材料？能否有替代品？如果使用其他材料进行实验，结果又会如何呢？</w:t>
      </w:r>
    </w:p>
    <w:p>
      <w:pPr>
        <w:pStyle w:val="ListParagraph"/>
        <w:numPr>
          <w:ilvl w:val="0"/>
          <w:numId w:val="3"/>
        </w:numPr>
        <w:tabs>
          <w:tab w:val="left" w:pos="1171"/>
        </w:tabs>
        <w:spacing w:before="0" w:after="0" w:line="302" w:lineRule="exact"/>
        <w:ind w:left="1170" w:right="0" w:hanging="301"/>
        <w:jc w:val="both"/>
        <w:rPr>
          <w:sz w:val="24"/>
        </w:rPr>
      </w:pPr>
      <w:r>
        <w:rPr>
          <w:color w:val="231F20"/>
          <w:sz w:val="24"/>
        </w:rPr>
        <w:t>围绕实验结果展开讨论，发展科学思维</w:t>
      </w:r>
    </w:p>
    <w:p>
      <w:pPr>
        <w:pStyle w:val="BodyText"/>
        <w:spacing w:before="113" w:line="328" w:lineRule="auto"/>
        <w:ind w:left="390" w:right="238" w:firstLine="480"/>
        <w:jc w:val="both"/>
      </w:pPr>
      <w:r>
        <w:rPr>
          <w:color w:val="231F20"/>
        </w:rPr>
        <w:t>在讨论中引导学生思考：生物组织中是否只含有一种物质，比如梨中是否只含有还原糖？有没有蛋白质？能否用梨来检测蛋白质？能否检测花生中的还原糖、大豆里的脂肪呢？</w:t>
      </w:r>
    </w:p>
    <w:p>
      <w:pPr>
        <w:pStyle w:val="BodyText"/>
        <w:spacing w:before="6"/>
        <w:rPr>
          <w:sz w:val="32"/>
        </w:rPr>
      </w:pPr>
    </w:p>
    <w:p>
      <w:pPr>
        <w:pStyle w:val="BodyText"/>
        <w:spacing w:line="328" w:lineRule="auto"/>
        <w:ind w:left="390" w:right="230" w:firstLine="480"/>
        <w:jc w:val="both"/>
      </w:pPr>
      <w:r>
        <w:rPr>
          <w:color w:val="231F20"/>
          <w:position w:val="1"/>
          <w:sz w:val="21"/>
        </w:rPr>
        <w:t>案例</w:t>
      </w:r>
      <w:r>
        <w:rPr>
          <w:rFonts w:ascii="Times New Roman" w:eastAsia="Times New Roman"/>
          <w:b/>
          <w:color w:val="231F20"/>
          <w:position w:val="1"/>
          <w:sz w:val="21"/>
        </w:rPr>
        <w:t xml:space="preserve">5 </w:t>
      </w:r>
      <w:r>
        <w:rPr>
          <w:color w:val="231F20"/>
          <w:position w:val="1"/>
          <w:sz w:val="21"/>
        </w:rPr>
        <w:t xml:space="preserve">评析 </w:t>
      </w:r>
      <w:r>
        <w:rPr>
          <w:color w:val="231F20"/>
        </w:rPr>
        <w:t>验证性实验通常有明确的实验步骤和预期结果，实验中学生往往会不假思索，按部就班地进行操作，得到预期结果便算完成了任务。本案例在验证性实验的基础上，为学生提供了更为丰富的实验材料，使原本的验证性实验具有了一定的探索空间。在实验中，教师注重了激发学生主动思考和探究的积极性，使其对实验原理、材料选择以及操作要求等有更深刻的理解。这种设计安排，在加强学生动手技能、养成实验室工作习惯、强化生物学概念的同时，也培养了学生的科学思维和科学探究能力。</w:t>
      </w:r>
    </w:p>
    <w:p>
      <w:pPr>
        <w:pStyle w:val="BodyText"/>
        <w:spacing w:before="2"/>
        <w:rPr>
          <w:sz w:val="25"/>
        </w:rPr>
      </w:pPr>
    </w:p>
    <w:p>
      <w:pPr>
        <w:tabs>
          <w:tab w:val="left" w:pos="911"/>
        </w:tabs>
        <w:spacing w:before="1"/>
        <w:ind w:left="150" w:right="0" w:firstLine="0"/>
        <w:jc w:val="center"/>
        <w:rPr>
          <w:sz w:val="21"/>
        </w:rPr>
      </w:pPr>
      <w:r>
        <w:rPr>
          <w:color w:val="231F20"/>
          <w:sz w:val="21"/>
        </w:rPr>
        <w:t>案</w:t>
      </w:r>
      <w:r>
        <w:rPr>
          <w:color w:val="231F20"/>
          <w:spacing w:val="26"/>
          <w:sz w:val="21"/>
        </w:rPr>
        <w:t>例</w:t>
      </w:r>
      <w:r>
        <w:rPr>
          <w:rFonts w:ascii="Times New Roman" w:eastAsia="Times New Roman"/>
          <w:b/>
          <w:color w:val="231F20"/>
          <w:sz w:val="21"/>
        </w:rPr>
        <w:t>6</w:t>
        <w:tab/>
      </w:r>
      <w:r>
        <w:rPr>
          <w:color w:val="231F20"/>
          <w:sz w:val="21"/>
        </w:rPr>
        <w:t>核心素养的评价案例</w:t>
      </w:r>
    </w:p>
    <w:p>
      <w:pPr>
        <w:pStyle w:val="BodyText"/>
        <w:rPr>
          <w:sz w:val="18"/>
        </w:rPr>
      </w:pPr>
    </w:p>
    <w:p>
      <w:pPr>
        <w:pStyle w:val="BodyText"/>
        <w:spacing w:before="1" w:line="328" w:lineRule="auto"/>
        <w:ind w:left="390" w:right="120" w:firstLine="480"/>
      </w:pPr>
      <w:r>
        <w:rPr>
          <w:color w:val="231F20"/>
          <w:spacing w:val="15"/>
        </w:rPr>
        <w:t>每年</w:t>
      </w:r>
      <w:r>
        <w:rPr>
          <w:rFonts w:ascii="Times New Roman" w:eastAsia="Times New Roman"/>
          <w:color w:val="231F20"/>
        </w:rPr>
        <w:t>7</w:t>
      </w:r>
      <w:r>
        <w:rPr>
          <w:rFonts w:ascii="Times New Roman" w:eastAsia="Times New Roman"/>
          <w:color w:val="231F20"/>
          <w:spacing w:val="-30"/>
        </w:rPr>
        <w:t xml:space="preserve"> </w:t>
      </w:r>
      <w:r>
        <w:rPr>
          <w:color w:val="231F20"/>
          <w:spacing w:val="15"/>
        </w:rPr>
        <w:t>月至</w:t>
      </w:r>
      <w:r>
        <w:rPr>
          <w:rFonts w:ascii="Times New Roman" w:eastAsia="Times New Roman"/>
          <w:color w:val="231F20"/>
        </w:rPr>
        <w:t>10</w:t>
      </w:r>
      <w:r>
        <w:rPr>
          <w:rFonts w:ascii="Times New Roman" w:eastAsia="Times New Roman"/>
          <w:color w:val="231F20"/>
          <w:spacing w:val="-30"/>
        </w:rPr>
        <w:t xml:space="preserve"> </w:t>
      </w:r>
      <w:r>
        <w:rPr>
          <w:color w:val="231F20"/>
        </w:rPr>
        <w:t>月，在加拿大、美国阿拉斯加和挪威等地可观赏到三文鱼洄游的奇观。临近产卵期的三文鱼浩浩荡荡地逆流而上，跃过小瀑布和小堤坝，历经艰辛回到出生地产卵，随即结束自己的生命。</w:t>
      </w:r>
      <w:r>
        <w:rPr>
          <w:color w:val="231F20"/>
          <w:spacing w:val="4"/>
        </w:rPr>
        <w:t>而孵出的小鱼苗将顺流而下回到海洋，通常</w:t>
      </w:r>
      <w:r>
        <w:rPr>
          <w:rFonts w:ascii="Times New Roman" w:eastAsia="Times New Roman"/>
          <w:color w:val="231F20"/>
        </w:rPr>
        <w:t>3</w:t>
      </w:r>
      <w:r>
        <w:rPr>
          <w:rFonts w:ascii="Times New Roman" w:eastAsia="Times New Roman"/>
          <w:color w:val="231F20"/>
          <w:spacing w:val="-29"/>
        </w:rPr>
        <w:t xml:space="preserve"> </w:t>
      </w:r>
      <w:r>
        <w:rPr>
          <w:color w:val="231F20"/>
          <w:spacing w:val="31"/>
        </w:rPr>
        <w:t>至</w:t>
      </w:r>
      <w:r>
        <w:rPr>
          <w:rFonts w:ascii="Times New Roman" w:eastAsia="Times New Roman"/>
          <w:color w:val="231F20"/>
        </w:rPr>
        <w:t>5</w:t>
      </w:r>
      <w:r>
        <w:rPr>
          <w:rFonts w:ascii="Times New Roman" w:eastAsia="Times New Roman"/>
          <w:color w:val="231F20"/>
          <w:spacing w:val="-29"/>
        </w:rPr>
        <w:t xml:space="preserve"> </w:t>
      </w:r>
      <w:r>
        <w:rPr>
          <w:color w:val="231F20"/>
          <w:spacing w:val="3"/>
        </w:rPr>
        <w:t>年长大成熟。据统</w:t>
      </w:r>
    </w:p>
    <w:p>
      <w:pPr>
        <w:pStyle w:val="BodyText"/>
        <w:spacing w:line="302" w:lineRule="exact"/>
        <w:ind w:left="391"/>
        <w:rPr>
          <w:rFonts w:ascii="Times New Roman" w:eastAsia="Times New Roman"/>
        </w:rPr>
      </w:pPr>
      <w:r>
        <w:rPr>
          <w:color w:val="231F20"/>
          <w:spacing w:val="10"/>
        </w:rPr>
        <w:t>计，野生三文鱼数量在过去</w:t>
      </w:r>
      <w:r>
        <w:rPr>
          <w:rFonts w:ascii="Times New Roman" w:eastAsia="Times New Roman"/>
          <w:color w:val="231F20"/>
        </w:rPr>
        <w:t>30</w:t>
      </w:r>
      <w:r>
        <w:rPr>
          <w:rFonts w:ascii="Times New Roman" w:eastAsia="Times New Roman"/>
          <w:color w:val="231F20"/>
          <w:spacing w:val="-26"/>
        </w:rPr>
        <w:t xml:space="preserve"> </w:t>
      </w:r>
      <w:r>
        <w:rPr>
          <w:color w:val="231F20"/>
          <w:spacing w:val="16"/>
        </w:rPr>
        <w:t>年内已减少</w:t>
      </w:r>
      <w:r>
        <w:rPr>
          <w:rFonts w:ascii="Times New Roman" w:eastAsia="Times New Roman"/>
          <w:color w:val="231F20"/>
        </w:rPr>
        <w:t>2/3</w:t>
      </w:r>
      <w:r>
        <w:rPr>
          <w:color w:val="231F20"/>
          <w:spacing w:val="19"/>
        </w:rPr>
        <w:t>。仅在</w:t>
      </w:r>
      <w:r>
        <w:rPr>
          <w:rFonts w:ascii="Times New Roman" w:eastAsia="Times New Roman"/>
          <w:color w:val="231F20"/>
        </w:rPr>
        <w:t>1994</w:t>
      </w:r>
      <w:r>
        <w:rPr>
          <w:rFonts w:ascii="Times New Roman" w:eastAsia="Times New Roman"/>
          <w:color w:val="231F20"/>
          <w:spacing w:val="-26"/>
        </w:rPr>
        <w:t xml:space="preserve"> </w:t>
      </w:r>
      <w:r>
        <w:rPr>
          <w:color w:val="231F20"/>
          <w:spacing w:val="23"/>
        </w:rPr>
        <w:t>年至</w:t>
      </w:r>
      <w:r>
        <w:rPr>
          <w:rFonts w:ascii="Times New Roman" w:eastAsia="Times New Roman"/>
          <w:color w:val="231F20"/>
        </w:rPr>
        <w:t>1999</w:t>
      </w:r>
    </w:p>
    <w:p>
      <w:pPr>
        <w:pStyle w:val="BodyText"/>
        <w:spacing w:before="112"/>
        <w:ind w:left="391"/>
      </w:pPr>
      <w:r>
        <w:rPr>
          <w:color w:val="231F20"/>
          <w:spacing w:val="1"/>
        </w:rPr>
        <w:t>年间，北美河流的三文鱼年穿行量就从大约</w:t>
      </w:r>
      <w:r>
        <w:rPr>
          <w:rFonts w:ascii="Times New Roman" w:eastAsia="Times New Roman"/>
          <w:color w:val="231F20"/>
        </w:rPr>
        <w:t>20</w:t>
      </w:r>
      <w:r>
        <w:rPr>
          <w:rFonts w:ascii="Times New Roman" w:eastAsia="Times New Roman"/>
          <w:color w:val="231F20"/>
          <w:spacing w:val="-30"/>
        </w:rPr>
        <w:t xml:space="preserve"> </w:t>
      </w:r>
      <w:r>
        <w:rPr>
          <w:color w:val="231F20"/>
          <w:spacing w:val="6"/>
        </w:rPr>
        <w:t>万尾下降到</w:t>
      </w:r>
      <w:r>
        <w:rPr>
          <w:rFonts w:ascii="Times New Roman" w:eastAsia="Times New Roman"/>
          <w:color w:val="231F20"/>
        </w:rPr>
        <w:t>8</w:t>
      </w:r>
      <w:r>
        <w:rPr>
          <w:rFonts w:ascii="Times New Roman" w:eastAsia="Times New Roman"/>
          <w:color w:val="231F20"/>
          <w:spacing w:val="-30"/>
        </w:rPr>
        <w:t xml:space="preserve"> </w:t>
      </w:r>
      <w:r>
        <w:rPr>
          <w:color w:val="231F20"/>
        </w:rPr>
        <w:t>万尾。自</w:t>
      </w:r>
    </w:p>
    <w:p>
      <w:pPr>
        <w:pStyle w:val="BodyText"/>
        <w:spacing w:before="113" w:line="328" w:lineRule="auto"/>
        <w:ind w:left="391" w:right="232"/>
      </w:pPr>
      <w:r>
        <w:rPr>
          <w:rFonts w:ascii="Times New Roman" w:eastAsia="Times New Roman"/>
          <w:color w:val="231F20"/>
        </w:rPr>
        <w:t xml:space="preserve">20 </w:t>
      </w:r>
      <w:r>
        <w:rPr>
          <w:color w:val="231F20"/>
        </w:rPr>
        <w:t>世纪</w:t>
      </w:r>
      <w:r>
        <w:rPr>
          <w:rFonts w:ascii="Times New Roman" w:eastAsia="Times New Roman"/>
          <w:color w:val="231F20"/>
        </w:rPr>
        <w:t xml:space="preserve">60 </w:t>
      </w:r>
      <w:r>
        <w:rPr>
          <w:color w:val="231F20"/>
        </w:rPr>
        <w:t>年代开始的肆无忌惮的商业捕捞是三文鱼濒临生存警戒线的根本原因。</w:t>
      </w:r>
    </w:p>
    <w:p>
      <w:pPr>
        <w:spacing w:after="0" w:line="328" w:lineRule="auto"/>
        <w:sectPr>
          <w:pgSz w:w="10780" w:h="15090"/>
          <w:pgMar w:top="1260" w:right="1460" w:bottom="1400" w:left="1480" w:header="989" w:footer="1217"/>
          <w:cols w:space="708"/>
        </w:sectPr>
      </w:pPr>
    </w:p>
    <w:p>
      <w:pPr>
        <w:pStyle w:val="BodyText"/>
        <w:rPr>
          <w:sz w:val="20"/>
        </w:rPr>
      </w:pPr>
    </w:p>
    <w:p>
      <w:pPr>
        <w:pStyle w:val="BodyText"/>
        <w:spacing w:before="204"/>
        <w:ind w:left="700"/>
        <w:jc w:val="both"/>
      </w:pPr>
      <w:r>
        <w:rPr>
          <w:rFonts w:ascii="Times New Roman" w:eastAsia="Times New Roman"/>
          <w:color w:val="231F20"/>
          <w:spacing w:val="-5"/>
        </w:rPr>
        <w:t xml:space="preserve">2015 </w:t>
      </w:r>
      <w:r>
        <w:rPr>
          <w:color w:val="231F20"/>
          <w:spacing w:val="26"/>
        </w:rPr>
        <w:t>年</w:t>
      </w:r>
      <w:r>
        <w:rPr>
          <w:rFonts w:ascii="Times New Roman" w:eastAsia="Times New Roman"/>
          <w:color w:val="231F20"/>
          <w:spacing w:val="-3"/>
        </w:rPr>
        <w:t xml:space="preserve">11 </w:t>
      </w:r>
      <w:r>
        <w:rPr>
          <w:color w:val="231F20"/>
          <w:spacing w:val="-1"/>
        </w:rPr>
        <w:t>月，美国食品药品监督管理局在经过</w:t>
      </w:r>
      <w:r>
        <w:rPr>
          <w:rFonts w:ascii="Times New Roman" w:eastAsia="Times New Roman"/>
          <w:color w:val="231F20"/>
        </w:rPr>
        <w:t xml:space="preserve">5 </w:t>
      </w:r>
      <w:r>
        <w:rPr>
          <w:color w:val="231F20"/>
        </w:rPr>
        <w:t>年食用安全性和</w:t>
      </w:r>
    </w:p>
    <w:p>
      <w:pPr>
        <w:pStyle w:val="BodyText"/>
        <w:spacing w:before="113" w:line="328" w:lineRule="auto"/>
        <w:ind w:left="221" w:right="300"/>
        <w:jc w:val="both"/>
      </w:pPr>
      <w:r>
        <w:rPr>
          <w:rFonts w:ascii="Times New Roman" w:eastAsia="Times New Roman"/>
          <w:color w:val="231F20"/>
        </w:rPr>
        <w:t xml:space="preserve">3 </w:t>
      </w:r>
      <w:r>
        <w:rPr>
          <w:color w:val="231F20"/>
          <w:spacing w:val="-6"/>
        </w:rPr>
        <w:t>年环境安全性的评估后，批准了转基因三文鱼上市。该转基因三文鱼</w:t>
      </w:r>
      <w:r>
        <w:rPr>
          <w:color w:val="231F20"/>
          <w:spacing w:val="-1"/>
        </w:rPr>
        <w:t>是在大西洋三文鱼的基因组中导入了两个基因，其中一个是奇努克三</w:t>
      </w:r>
      <w:r>
        <w:rPr>
          <w:color w:val="231F20"/>
          <w:spacing w:val="-2"/>
        </w:rPr>
        <w:t>文鱼的生长激素基因，从而改变了大西洋三文鱼原有的生长激素调节</w:t>
      </w:r>
      <w:r>
        <w:rPr>
          <w:color w:val="231F20"/>
          <w:spacing w:val="-4"/>
        </w:rPr>
        <w:t>方式。这些转基因三文鱼经进一步实验处理成为三倍体雌鱼。经过基</w:t>
      </w:r>
      <w:r>
        <w:rPr>
          <w:color w:val="231F20"/>
          <w:spacing w:val="-5"/>
        </w:rPr>
        <w:t>因修饰后的大西洋三文鱼生长迅速，仅需</w:t>
      </w:r>
      <w:r>
        <w:rPr>
          <w:rFonts w:ascii="Times New Roman" w:eastAsia="Times New Roman"/>
          <w:color w:val="231F20"/>
          <w:spacing w:val="-3"/>
        </w:rPr>
        <w:t xml:space="preserve">18 </w:t>
      </w:r>
      <w:r>
        <w:rPr>
          <w:color w:val="231F20"/>
          <w:spacing w:val="-8"/>
        </w:rPr>
        <w:t>个月便能生长到成年体型。</w:t>
      </w:r>
    </w:p>
    <w:p>
      <w:pPr>
        <w:pStyle w:val="BodyText"/>
        <w:spacing w:line="301" w:lineRule="exact"/>
        <w:ind w:left="701"/>
      </w:pPr>
      <w:r>
        <w:rPr>
          <w:color w:val="231F20"/>
        </w:rPr>
        <w:t>问：</w:t>
      </w:r>
    </w:p>
    <w:p>
      <w:pPr>
        <w:pStyle w:val="ListParagraph"/>
        <w:numPr>
          <w:ilvl w:val="0"/>
          <w:numId w:val="1"/>
        </w:numPr>
        <w:tabs>
          <w:tab w:val="left" w:pos="1183"/>
        </w:tabs>
        <w:spacing w:before="112" w:after="0" w:line="328" w:lineRule="auto"/>
        <w:ind w:left="221" w:right="408" w:firstLine="360"/>
        <w:jc w:val="left"/>
        <w:rPr>
          <w:sz w:val="24"/>
        </w:rPr>
      </w:pPr>
      <w:r>
        <w:rPr>
          <w:color w:val="231F20"/>
          <w:spacing w:val="-1"/>
          <w:sz w:val="24"/>
        </w:rPr>
        <w:t>三文鱼是深受人们喜爱的鱼类，其竭尽生命产卵的景象辉煌</w:t>
      </w:r>
      <w:r>
        <w:rPr>
          <w:color w:val="231F20"/>
          <w:sz w:val="24"/>
        </w:rPr>
        <w:t>而悲壮。人类可以采取哪些措施保护野生三文鱼资源？</w:t>
      </w:r>
    </w:p>
    <w:p>
      <w:pPr>
        <w:pStyle w:val="ListParagraph"/>
        <w:numPr>
          <w:ilvl w:val="0"/>
          <w:numId w:val="1"/>
        </w:numPr>
        <w:tabs>
          <w:tab w:val="left" w:pos="1183"/>
        </w:tabs>
        <w:spacing w:before="0" w:after="0" w:line="328" w:lineRule="auto"/>
        <w:ind w:left="221" w:right="408" w:firstLine="360"/>
        <w:jc w:val="both"/>
        <w:rPr>
          <w:rFonts w:ascii="Times New Roman" w:eastAsia="Times New Roman"/>
          <w:sz w:val="24"/>
        </w:rPr>
      </w:pPr>
      <w:r>
        <w:rPr>
          <w:color w:val="231F20"/>
          <w:spacing w:val="-1"/>
          <w:sz w:val="24"/>
        </w:rPr>
        <w:t>对转基因生物释放到自然界中的担忧之一是：转基因生物中含有的目的基因可能会通过有性生殖扩散到野生种群的基因库中，从而对遗传多样性造成影响。你认为本例中的转基因三文鱼是否会发生</w:t>
      </w:r>
      <w:r>
        <w:rPr>
          <w:color w:val="231F20"/>
          <w:spacing w:val="3"/>
          <w:sz w:val="24"/>
        </w:rPr>
        <w:t>此种情况？为什么</w:t>
      </w:r>
      <w:r>
        <w:rPr>
          <w:rFonts w:ascii="Times New Roman" w:eastAsia="Times New Roman"/>
          <w:color w:val="231F20"/>
          <w:sz w:val="24"/>
        </w:rPr>
        <w:t>?</w:t>
      </w:r>
    </w:p>
    <w:p>
      <w:pPr>
        <w:pStyle w:val="ListParagraph"/>
        <w:numPr>
          <w:ilvl w:val="0"/>
          <w:numId w:val="1"/>
        </w:numPr>
        <w:tabs>
          <w:tab w:val="left" w:pos="1183"/>
        </w:tabs>
        <w:spacing w:before="0" w:after="0" w:line="302" w:lineRule="exact"/>
        <w:ind w:left="1182" w:right="0" w:hanging="602"/>
        <w:jc w:val="left"/>
        <w:rPr>
          <w:sz w:val="24"/>
        </w:rPr>
      </w:pPr>
      <w:r>
        <w:rPr>
          <w:color w:val="231F20"/>
          <w:sz w:val="24"/>
        </w:rPr>
        <w:t>你认为培育转基因三文鱼的优势是什么？</w:t>
      </w:r>
    </w:p>
    <w:p>
      <w:pPr>
        <w:pStyle w:val="BodyText"/>
        <w:rPr>
          <w:sz w:val="26"/>
        </w:rPr>
      </w:pPr>
    </w:p>
    <w:p>
      <w:pPr>
        <w:pStyle w:val="BodyText"/>
        <w:tabs>
          <w:tab w:val="left" w:pos="1985"/>
        </w:tabs>
        <w:spacing w:before="197" w:line="328" w:lineRule="auto"/>
        <w:ind w:left="220" w:right="290" w:firstLine="480"/>
      </w:pPr>
      <w:r>
        <w:rPr>
          <w:color w:val="231F20"/>
          <w:spacing w:val="11"/>
          <w:position w:val="1"/>
          <w:sz w:val="21"/>
        </w:rPr>
        <w:t>案</w:t>
      </w:r>
      <w:r>
        <w:rPr>
          <w:color w:val="231F20"/>
          <w:spacing w:val="30"/>
          <w:position w:val="1"/>
          <w:sz w:val="21"/>
        </w:rPr>
        <w:t>例</w:t>
      </w:r>
      <w:r>
        <w:rPr>
          <w:rFonts w:ascii="Times New Roman" w:eastAsia="Times New Roman"/>
          <w:b/>
          <w:color w:val="231F20"/>
          <w:position w:val="1"/>
          <w:sz w:val="21"/>
        </w:rPr>
        <w:t>6</w:t>
      </w:r>
      <w:r>
        <w:rPr>
          <w:rFonts w:ascii="Times New Roman" w:eastAsia="Times New Roman"/>
          <w:b/>
          <w:color w:val="231F20"/>
          <w:spacing w:val="-22"/>
          <w:position w:val="1"/>
          <w:sz w:val="21"/>
        </w:rPr>
        <w:t xml:space="preserve"> </w:t>
      </w:r>
      <w:r>
        <w:rPr>
          <w:color w:val="231F20"/>
          <w:spacing w:val="11"/>
          <w:position w:val="1"/>
          <w:sz w:val="21"/>
        </w:rPr>
        <w:t>评</w:t>
      </w:r>
      <w:r>
        <w:rPr>
          <w:color w:val="231F20"/>
          <w:position w:val="1"/>
          <w:sz w:val="21"/>
        </w:rPr>
        <w:t>析</w:t>
        <w:tab/>
      </w:r>
      <w:r>
        <w:rPr>
          <w:color w:val="231F20"/>
          <w:spacing w:val="13"/>
        </w:rPr>
        <w:t>本题以社会广泛关注的转基因三文鱼上市为情</w:t>
      </w:r>
      <w:r>
        <w:rPr>
          <w:color w:val="231F20"/>
        </w:rPr>
        <w:t xml:space="preserve">境， </w:t>
      </w:r>
      <w:r>
        <w:rPr>
          <w:color w:val="231F20"/>
          <w:spacing w:val="8"/>
        </w:rPr>
        <w:t>运用减数分裂与有性生</w:t>
      </w:r>
      <w:r>
        <w:rPr>
          <w:color w:val="231F20"/>
        </w:rPr>
        <w:t>殖</w:t>
      </w:r>
      <w:r>
        <w:rPr>
          <w:color w:val="231F20"/>
          <w:spacing w:val="8"/>
        </w:rPr>
        <w:t>、基因工程以及生物多样性保护等相关内</w:t>
      </w:r>
      <w:r>
        <w:rPr>
          <w:color w:val="231F20"/>
        </w:rPr>
        <w:t>容，考查学生运用科学思维解决问题的能力。此外，本题还能考查学</w:t>
      </w:r>
      <w:r>
        <w:rPr>
          <w:color w:val="231F20"/>
          <w:spacing w:val="4"/>
        </w:rPr>
        <w:t>生关注和理解社会议题</w:t>
      </w:r>
      <w:r>
        <w:rPr>
          <w:color w:val="231F20"/>
        </w:rPr>
        <w:t>等社会责</w:t>
      </w:r>
      <w:r>
        <w:rPr>
          <w:color w:val="231F20"/>
          <w:spacing w:val="-6"/>
        </w:rPr>
        <w:t>任</w:t>
      </w:r>
      <w:r>
        <w:rPr>
          <w:color w:val="231F20"/>
        </w:rPr>
        <w:t>。正确解答本题需学生具备科学思</w:t>
      </w:r>
      <w:r>
        <w:rPr>
          <w:color w:val="231F20"/>
          <w:spacing w:val="-6"/>
        </w:rPr>
        <w:t>维与社会责任的三、四级水平。</w:t>
      </w:r>
    </w:p>
    <w:p>
      <w:pPr>
        <w:pStyle w:val="BodyText"/>
        <w:spacing w:before="6"/>
        <w:rPr>
          <w:sz w:val="25"/>
        </w:rPr>
      </w:pPr>
    </w:p>
    <w:p>
      <w:pPr>
        <w:tabs>
          <w:tab w:val="left" w:pos="761"/>
        </w:tabs>
        <w:spacing w:before="0"/>
        <w:ind w:left="0" w:right="188" w:firstLine="0"/>
        <w:jc w:val="center"/>
        <w:rPr>
          <w:sz w:val="21"/>
        </w:rPr>
      </w:pPr>
      <w:r>
        <w:rPr>
          <w:color w:val="231F20"/>
          <w:sz w:val="21"/>
        </w:rPr>
        <w:t>案</w:t>
      </w:r>
      <w:r>
        <w:rPr>
          <w:color w:val="231F20"/>
          <w:spacing w:val="26"/>
          <w:sz w:val="21"/>
        </w:rPr>
        <w:t>例</w:t>
      </w:r>
      <w:r>
        <w:rPr>
          <w:rFonts w:ascii="Times New Roman" w:eastAsia="Times New Roman"/>
          <w:b/>
          <w:color w:val="231F20"/>
          <w:sz w:val="21"/>
        </w:rPr>
        <w:t>7</w:t>
        <w:tab/>
      </w:r>
      <w:r>
        <w:rPr>
          <w:color w:val="231F20"/>
          <w:sz w:val="21"/>
        </w:rPr>
        <w:t>探究光合作用中氧气的来源</w:t>
      </w:r>
    </w:p>
    <w:p>
      <w:pPr>
        <w:pStyle w:val="BodyText"/>
        <w:spacing w:before="1"/>
        <w:rPr>
          <w:sz w:val="18"/>
        </w:rPr>
      </w:pPr>
    </w:p>
    <w:p>
      <w:pPr>
        <w:pStyle w:val="BodyText"/>
        <w:spacing w:before="1" w:line="328" w:lineRule="auto"/>
        <w:ind w:left="220" w:right="402" w:firstLine="480"/>
        <w:jc w:val="both"/>
      </w:pPr>
      <w:r>
        <w:rPr>
          <w:color w:val="231F20"/>
          <w:spacing w:val="-1"/>
        </w:rPr>
        <w:t>背景：本节课利用交互式平台，将教师专用平板电脑与学生专用</w:t>
      </w:r>
      <w:r>
        <w:rPr>
          <w:color w:val="231F20"/>
          <w:spacing w:val="4"/>
        </w:rPr>
        <w:t>平板电脑</w:t>
      </w:r>
      <w:r>
        <w:rPr>
          <w:color w:val="231F20"/>
          <w:spacing w:val="6"/>
        </w:rPr>
        <w:t>（</w:t>
      </w:r>
      <w:r>
        <w:rPr>
          <w:color w:val="231F20"/>
          <w:spacing w:val="19"/>
        </w:rPr>
        <w:t>每人</w:t>
      </w:r>
      <w:r>
        <w:rPr>
          <w:rFonts w:ascii="Times New Roman" w:eastAsia="Times New Roman" w:hAnsi="Times New Roman"/>
          <w:color w:val="231F20"/>
        </w:rPr>
        <w:t xml:space="preserve">1 </w:t>
      </w:r>
      <w:r>
        <w:rPr>
          <w:color w:val="231F20"/>
          <w:spacing w:val="6"/>
        </w:rPr>
        <w:t>台</w:t>
      </w:r>
      <w:r>
        <w:rPr>
          <w:color w:val="231F20"/>
          <w:spacing w:val="-90"/>
        </w:rPr>
        <w:t>）</w:t>
      </w:r>
      <w:r>
        <w:rPr>
          <w:color w:val="231F20"/>
          <w:spacing w:val="4"/>
        </w:rPr>
        <w:t>、智能光电白板等硬件连接为一个整体，为学</w:t>
      </w:r>
      <w:r>
        <w:rPr>
          <w:color w:val="231F20"/>
          <w:spacing w:val="-11"/>
        </w:rPr>
        <w:t>生的自主学习、合作学习和探究学习，提供了信息化的课程资源和网络</w:t>
      </w:r>
      <w:r>
        <w:rPr>
          <w:color w:val="231F20"/>
          <w:spacing w:val="-9"/>
        </w:rPr>
        <w:t>互动教学环境</w:t>
      </w:r>
      <w:r>
        <w:rPr>
          <w:color w:val="231F20"/>
          <w:spacing w:val="-8"/>
        </w:rPr>
        <w:t>（</w:t>
      </w:r>
      <w:r>
        <w:rPr>
          <w:color w:val="231F20"/>
          <w:spacing w:val="19"/>
        </w:rPr>
        <w:t>图</w:t>
      </w:r>
      <w:r>
        <w:rPr>
          <w:rFonts w:ascii="Times New Roman" w:eastAsia="Times New Roman" w:hAnsi="Times New Roman"/>
          <w:color w:val="231F20"/>
          <w:spacing w:val="-10"/>
        </w:rPr>
        <w:t>3</w:t>
      </w:r>
      <w:r>
        <w:rPr>
          <w:color w:val="231F20"/>
          <w:spacing w:val="-9"/>
        </w:rPr>
        <w:t>，见下页</w:t>
      </w:r>
      <w:r>
        <w:rPr>
          <w:color w:val="231F20"/>
          <w:spacing w:val="-102"/>
        </w:rPr>
        <w:t>）</w:t>
      </w:r>
      <w:r>
        <w:rPr>
          <w:color w:val="231F20"/>
        </w:rPr>
        <w:t>。师生通过这一系统开展“光合作用的</w:t>
      </w:r>
      <w:r>
        <w:rPr>
          <w:color w:val="231F20"/>
          <w:spacing w:val="-1"/>
        </w:rPr>
        <w:t>研究历史”一课的活动。本案例节选其中“探究光合作用中氧气的来</w:t>
      </w:r>
      <w:r>
        <w:rPr>
          <w:color w:val="231F20"/>
        </w:rPr>
        <w:t>源”的教学片段。</w:t>
      </w:r>
    </w:p>
    <w:p>
      <w:pPr>
        <w:spacing w:after="0" w:line="328" w:lineRule="auto"/>
        <w:jc w:val="both"/>
        <w:sectPr>
          <w:pgSz w:w="10780" w:h="15090"/>
          <w:pgMar w:top="1260" w:right="1460" w:bottom="1400" w:left="1480" w:header="1029" w:footer="1217"/>
          <w:cols w:space="708"/>
        </w:sectPr>
      </w:pPr>
    </w:p>
    <w:p>
      <w:pPr>
        <w:pStyle w:val="BodyText"/>
        <w:rPr>
          <w:sz w:val="20"/>
        </w:rPr>
      </w:pPr>
    </w:p>
    <w:p>
      <w:pPr>
        <w:pStyle w:val="BodyText"/>
        <w:spacing w:before="10"/>
        <w:rPr>
          <w:sz w:val="17"/>
        </w:rPr>
      </w:pPr>
    </w:p>
    <w:p>
      <w:pPr>
        <w:pStyle w:val="BodyText"/>
        <w:ind w:left="1167"/>
        <w:rPr>
          <w:sz w:val="20"/>
        </w:rPr>
      </w:pPr>
      <w:r>
        <w:rPr>
          <w:sz w:val="20"/>
        </w:rPr>
        <w:drawing>
          <wp:inline distT="0" distB="0" distL="0" distR="0">
            <wp:extent cx="3593791" cy="1753552"/>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xmlns:r="http://schemas.openxmlformats.org/officeDocument/2006/relationships" r:embed="rId70" cstate="print"/>
                    <a:stretch>
                      <a:fillRect/>
                    </a:stretch>
                  </pic:blipFill>
                  <pic:spPr>
                    <a:xfrm>
                      <a:off x="0" y="0"/>
                      <a:ext cx="3593791" cy="1753552"/>
                    </a:xfrm>
                    <a:prstGeom prst="rect">
                      <a:avLst/>
                    </a:prstGeom>
                  </pic:spPr>
                </pic:pic>
              </a:graphicData>
            </a:graphic>
          </wp:inline>
        </w:drawing>
      </w:r>
    </w:p>
    <w:p>
      <w:pPr>
        <w:pStyle w:val="BodyText"/>
        <w:spacing w:before="3"/>
        <w:rPr>
          <w:sz w:val="10"/>
        </w:rPr>
      </w:pPr>
    </w:p>
    <w:p>
      <w:pPr>
        <w:spacing w:before="72"/>
        <w:ind w:left="150" w:right="1" w:firstLine="0"/>
        <w:jc w:val="center"/>
        <w:rPr>
          <w:sz w:val="20"/>
        </w:rPr>
      </w:pPr>
      <w:r>
        <w:rPr>
          <w:color w:val="231F20"/>
          <w:sz w:val="20"/>
        </w:rPr>
        <w:t>图3 网络互动教学环境</w:t>
      </w:r>
    </w:p>
    <w:p>
      <w:pPr>
        <w:pStyle w:val="BodyText"/>
        <w:rPr>
          <w:sz w:val="22"/>
        </w:rPr>
      </w:pPr>
    </w:p>
    <w:p>
      <w:pPr>
        <w:pStyle w:val="BodyText"/>
        <w:spacing w:before="165" w:line="328" w:lineRule="auto"/>
        <w:ind w:left="390" w:right="236" w:firstLine="480"/>
      </w:pPr>
      <w:r>
        <w:drawing>
          <wp:anchor distT="0" distB="0" distL="0" distR="0" simplePos="0" relativeHeight="251671552" behindDoc="1" locked="0" layoutInCell="1" allowOverlap="1">
            <wp:simplePos x="0" y="0"/>
            <wp:positionH relativeFrom="page">
              <wp:posOffset>3823953</wp:posOffset>
            </wp:positionH>
            <wp:positionV relativeFrom="paragraph">
              <wp:posOffset>340463</wp:posOffset>
            </wp:positionV>
            <wp:extent cx="1796768" cy="1213497"/>
            <wp:effectExtent l="0" t="0" r="0" b="0"/>
            <wp:wrapNone/>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xmlns:r="http://schemas.openxmlformats.org/officeDocument/2006/relationships" r:embed="rId71" cstate="print"/>
                    <a:stretch>
                      <a:fillRect/>
                    </a:stretch>
                  </pic:blipFill>
                  <pic:spPr>
                    <a:xfrm>
                      <a:off x="0" y="0"/>
                      <a:ext cx="1796768" cy="1213497"/>
                    </a:xfrm>
                    <a:prstGeom prst="rect">
                      <a:avLst/>
                    </a:prstGeom>
                  </pic:spPr>
                </pic:pic>
              </a:graphicData>
            </a:graphic>
          </wp:anchor>
        </w:drawing>
      </w:r>
      <w:r>
        <w:pict>
          <v:shape id="_x0000_s1119" type="#_x0000_t202" style="width:99.65pt;height:7.85pt;margin-top:16.17pt;margin-left:300.48pt;mso-position-horizontal-relative:page;position:absolute;z-index:-251643904" filled="f" stroked="f">
            <v:textbox inset="0,0,0,0">
              <w:txbxContent>
                <w:p>
                  <w:pPr>
                    <w:tabs>
                      <w:tab w:val="left" w:pos="483"/>
                      <w:tab w:val="left" w:pos="1439"/>
                      <w:tab w:val="left" w:pos="1922"/>
                    </w:tabs>
                    <w:spacing w:before="0" w:line="156" w:lineRule="exact"/>
                    <w:ind w:left="0" w:right="0" w:firstLine="0"/>
                    <w:jc w:val="left"/>
                    <w:rPr>
                      <w:rFonts w:ascii="Times New Roman"/>
                      <w:sz w:val="14"/>
                    </w:rPr>
                  </w:pPr>
                  <w:r>
                    <w:rPr>
                      <w:rFonts w:ascii="Times New Roman"/>
                      <w:color w:val="231F20"/>
                      <w:sz w:val="14"/>
                    </w:rPr>
                    <w:t>2</w:t>
                    <w:tab/>
                    <w:t>2</w:t>
                    <w:tab/>
                    <w:t>2</w:t>
                    <w:tab/>
                  </w:r>
                  <w:r>
                    <w:rPr>
                      <w:rFonts w:ascii="Times New Roman"/>
                      <w:color w:val="231F20"/>
                      <w:spacing w:val="-20"/>
                      <w:sz w:val="14"/>
                    </w:rPr>
                    <w:t>2</w:t>
                  </w:r>
                </w:p>
              </w:txbxContent>
            </v:textbox>
          </v:shape>
        </w:pict>
      </w:r>
      <w:r>
        <w:rPr>
          <w:color w:val="231F20"/>
          <w:spacing w:val="-2"/>
        </w:rPr>
        <w:t>教师在平板电脑上呈现关键词：</w:t>
      </w:r>
      <w:r>
        <w:rPr>
          <w:rFonts w:ascii="Times New Roman" w:eastAsia="Times New Roman"/>
          <w:color w:val="231F20"/>
          <w:spacing w:val="-21"/>
        </w:rPr>
        <w:t xml:space="preserve">CO </w:t>
      </w:r>
      <w:r>
        <w:rPr>
          <w:color w:val="231F20"/>
        </w:rPr>
        <w:t>、</w:t>
      </w:r>
      <w:r>
        <w:rPr>
          <w:rFonts w:ascii="Times New Roman" w:eastAsia="Times New Roman"/>
          <w:color w:val="231F20"/>
        </w:rPr>
        <w:t>H O</w:t>
      </w:r>
      <w:r>
        <w:rPr>
          <w:color w:val="231F20"/>
        </w:rPr>
        <w:t>、</w:t>
      </w:r>
      <w:r>
        <w:rPr>
          <w:rFonts w:ascii="Times New Roman" w:eastAsia="Times New Roman"/>
          <w:color w:val="231F20"/>
        </w:rPr>
        <w:t>C</w:t>
      </w:r>
      <w:r>
        <w:rPr>
          <w:rFonts w:ascii="Times New Roman" w:eastAsia="Times New Roman"/>
          <w:color w:val="231F20"/>
          <w:vertAlign w:val="superscript"/>
        </w:rPr>
        <w:t>18</w:t>
      </w:r>
      <w:r>
        <w:rPr>
          <w:rFonts w:ascii="Times New Roman" w:eastAsia="Times New Roman"/>
          <w:color w:val="231F20"/>
          <w:vertAlign w:val="baseline"/>
        </w:rPr>
        <w:t xml:space="preserve">O </w:t>
      </w:r>
      <w:r>
        <w:rPr>
          <w:color w:val="231F20"/>
          <w:vertAlign w:val="baseline"/>
        </w:rPr>
        <w:t>、</w:t>
      </w:r>
      <w:r>
        <w:rPr>
          <w:rFonts w:ascii="Times New Roman" w:eastAsia="Times New Roman"/>
          <w:color w:val="231F20"/>
          <w:vertAlign w:val="baseline"/>
        </w:rPr>
        <w:t xml:space="preserve">H </w:t>
      </w:r>
      <w:r>
        <w:rPr>
          <w:rFonts w:ascii="Times New Roman" w:eastAsia="Times New Roman"/>
          <w:color w:val="231F20"/>
          <w:vertAlign w:val="superscript"/>
        </w:rPr>
        <w:t>18</w:t>
      </w:r>
      <w:r>
        <w:rPr>
          <w:rFonts w:ascii="Times New Roman" w:eastAsia="Times New Roman"/>
          <w:color w:val="231F20"/>
          <w:vertAlign w:val="baseline"/>
        </w:rPr>
        <w:t xml:space="preserve">O </w:t>
      </w:r>
      <w:r>
        <w:rPr>
          <w:color w:val="231F20"/>
          <w:spacing w:val="-25"/>
          <w:vertAlign w:val="baseline"/>
        </w:rPr>
        <w:t>以及空</w:t>
      </w:r>
      <w:r>
        <w:rPr>
          <w:color w:val="231F20"/>
          <w:spacing w:val="10"/>
          <w:vertAlign w:val="baseline"/>
        </w:rPr>
        <w:t>白试管和含有小球藻的试管</w:t>
      </w:r>
      <w:r>
        <w:rPr>
          <w:color w:val="231F20"/>
          <w:spacing w:val="11"/>
          <w:vertAlign w:val="baseline"/>
        </w:rPr>
        <w:t>（</w:t>
      </w:r>
      <w:r>
        <w:rPr>
          <w:color w:val="231F20"/>
          <w:spacing w:val="35"/>
          <w:vertAlign w:val="baseline"/>
        </w:rPr>
        <w:t>图</w:t>
      </w:r>
      <w:r>
        <w:rPr>
          <w:rFonts w:ascii="Times New Roman" w:eastAsia="Times New Roman"/>
          <w:color w:val="231F20"/>
          <w:spacing w:val="-60"/>
          <w:vertAlign w:val="baseline"/>
        </w:rPr>
        <w:t>4</w:t>
      </w:r>
      <w:r>
        <w:rPr>
          <w:color w:val="231F20"/>
          <w:spacing w:val="-60"/>
          <w:vertAlign w:val="baseline"/>
        </w:rPr>
        <w:t>），</w:t>
      </w:r>
    </w:p>
    <w:p>
      <w:pPr>
        <w:pStyle w:val="BodyText"/>
        <w:spacing w:line="328" w:lineRule="auto"/>
        <w:ind w:left="390" w:right="3397"/>
      </w:pPr>
      <w:r>
        <w:drawing>
          <wp:anchor distT="0" distB="0" distL="0" distR="0" simplePos="0" relativeHeight="251695104" behindDoc="0" locked="0" layoutInCell="1" allowOverlap="1">
            <wp:simplePos x="0" y="0"/>
            <wp:positionH relativeFrom="page">
              <wp:posOffset>3823953</wp:posOffset>
            </wp:positionH>
            <wp:positionV relativeFrom="paragraph">
              <wp:posOffset>1079410</wp:posOffset>
            </wp:positionV>
            <wp:extent cx="1623937" cy="1244693"/>
            <wp:effectExtent l="0" t="0" r="0" b="0"/>
            <wp:wrapNone/>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xmlns:r="http://schemas.openxmlformats.org/officeDocument/2006/relationships" r:embed="rId72" cstate="print"/>
                    <a:stretch>
                      <a:fillRect/>
                    </a:stretch>
                  </pic:blipFill>
                  <pic:spPr>
                    <a:xfrm>
                      <a:off x="0" y="0"/>
                      <a:ext cx="1623937" cy="1244693"/>
                    </a:xfrm>
                    <a:prstGeom prst="rect">
                      <a:avLst/>
                    </a:prstGeom>
                  </pic:spPr>
                </pic:pic>
              </a:graphicData>
            </a:graphic>
          </wp:anchor>
        </w:drawing>
      </w:r>
      <w:r>
        <w:rPr>
          <w:color w:val="231F20"/>
        </w:rPr>
        <w:t>假定在有光的条件下进行实验设计。操作方法是让学生尝试将所提供的素材“拖曳”到书写框中展示实验设计，以探究光合作用的产物之一—— 氧气中的氧元素是来自于水还是来自于二氧化碳。</w:t>
      </w:r>
    </w:p>
    <w:p>
      <w:pPr>
        <w:pStyle w:val="BodyText"/>
        <w:spacing w:line="328" w:lineRule="auto"/>
        <w:ind w:left="390" w:right="3512" w:firstLine="480"/>
        <w:jc w:val="both"/>
      </w:pPr>
      <w:r>
        <w:rPr>
          <w:color w:val="231F20"/>
        </w:rPr>
        <w:t>学生开展讨论、交流，使用手中的平板电脑、运用教师提供的素材完成实验设计，并将设计好的方案上传</w:t>
      </w:r>
    </w:p>
    <w:p>
      <w:pPr>
        <w:spacing w:after="0" w:line="328" w:lineRule="auto"/>
        <w:jc w:val="both"/>
        <w:sectPr>
          <w:pgSz w:w="10780" w:h="15090"/>
          <w:pgMar w:top="1260" w:right="1460" w:bottom="1400" w:left="1480" w:header="989" w:footer="1217"/>
          <w:cols w:space="708"/>
        </w:sectPr>
      </w:pPr>
    </w:p>
    <w:p>
      <w:pPr>
        <w:pStyle w:val="BodyText"/>
        <w:spacing w:line="293" w:lineRule="exact"/>
        <w:ind w:left="390"/>
      </w:pPr>
      <w:r>
        <w:rPr>
          <w:color w:val="231F20"/>
        </w:rPr>
        <w:t>到云端。</w:t>
      </w:r>
    </w:p>
    <w:p>
      <w:pPr>
        <w:spacing w:before="0" w:line="251" w:lineRule="exact"/>
        <w:ind w:left="652" w:right="0" w:firstLine="0"/>
        <w:jc w:val="left"/>
        <w:rPr>
          <w:sz w:val="20"/>
        </w:rPr>
      </w:pPr>
      <w:r>
        <w:br w:type="column"/>
      </w:r>
      <w:r>
        <w:rPr>
          <w:color w:val="231F20"/>
          <w:sz w:val="20"/>
        </w:rPr>
        <w:t>图4 供学生设计的平板电脑</w:t>
      </w:r>
    </w:p>
    <w:p>
      <w:pPr>
        <w:spacing w:after="0" w:line="251" w:lineRule="exact"/>
        <w:jc w:val="left"/>
        <w:rPr>
          <w:sz w:val="20"/>
        </w:rPr>
        <w:sectPr>
          <w:type w:val="continuous"/>
          <w:pgSz w:w="10780" w:h="15090"/>
          <w:pgMar w:top="1420" w:right="1460" w:bottom="280" w:left="1480" w:header="708" w:footer="708"/>
          <w:cols w:num="2" w:space="708" w:equalWidth="0">
            <w:col w:w="1391" w:space="2760"/>
            <w:col w:w="3689"/>
          </w:cols>
        </w:sectPr>
      </w:pPr>
    </w:p>
    <w:p>
      <w:pPr>
        <w:pStyle w:val="BodyText"/>
        <w:spacing w:before="112" w:line="328" w:lineRule="auto"/>
        <w:ind w:left="390" w:right="238" w:firstLine="480"/>
      </w:pPr>
      <w:r>
        <w:rPr>
          <w:color w:val="231F20"/>
        </w:rPr>
        <w:t>教师端电脑显示学生的提交情况。在学生讨论过程中，教师拍下学生典型的实验设计同步上传到云端。</w:t>
      </w:r>
    </w:p>
    <w:p>
      <w:pPr>
        <w:pStyle w:val="BodyText"/>
        <w:spacing w:line="328" w:lineRule="auto"/>
        <w:ind w:left="390" w:right="238" w:firstLine="480"/>
      </w:pPr>
      <w:r>
        <w:rPr>
          <w:color w:val="231F20"/>
          <w:spacing w:val="-1"/>
        </w:rPr>
        <w:t>学生提交完毕，教师选出典型的实验设计方案，组织学生对它们</w:t>
      </w:r>
      <w:r>
        <w:rPr>
          <w:color w:val="231F20"/>
          <w:spacing w:val="1"/>
        </w:rPr>
        <w:t>进行自评和互评。学生较多出现的错误如图</w:t>
      </w:r>
      <w:r>
        <w:rPr>
          <w:rFonts w:ascii="Times New Roman" w:eastAsia="Times New Roman"/>
          <w:color w:val="231F20"/>
        </w:rPr>
        <w:t xml:space="preserve">5 </w:t>
      </w:r>
      <w:r>
        <w:rPr>
          <w:color w:val="231F20"/>
          <w:spacing w:val="15"/>
        </w:rPr>
        <w:t>和图</w:t>
      </w:r>
      <w:r>
        <w:rPr>
          <w:rFonts w:ascii="Times New Roman" w:eastAsia="Times New Roman"/>
          <w:color w:val="231F20"/>
          <w:spacing w:val="-30"/>
        </w:rPr>
        <w:t>6</w:t>
      </w:r>
      <w:r>
        <w:rPr>
          <w:color w:val="231F20"/>
          <w:spacing w:val="-30"/>
        </w:rPr>
        <w:t>（</w:t>
      </w:r>
      <w:r>
        <w:rPr>
          <w:color w:val="231F20"/>
        </w:rPr>
        <w:t>见下页</w:t>
      </w:r>
      <w:r>
        <w:rPr>
          <w:color w:val="231F20"/>
          <w:spacing w:val="-90"/>
        </w:rPr>
        <w:t>）</w:t>
      </w:r>
      <w:r>
        <w:rPr>
          <w:color w:val="231F20"/>
        </w:rPr>
        <w:t>。</w:t>
      </w:r>
    </w:p>
    <w:p>
      <w:pPr>
        <w:spacing w:after="0" w:line="328" w:lineRule="auto"/>
        <w:sectPr>
          <w:type w:val="continuous"/>
          <w:pgSz w:w="10780" w:h="15090"/>
          <w:pgMar w:top="1420" w:right="1460" w:bottom="280" w:left="1480" w:header="708" w:footer="708"/>
          <w:cols w:space="708"/>
        </w:sectPr>
      </w:pPr>
    </w:p>
    <w:p>
      <w:pPr>
        <w:pStyle w:val="BodyText"/>
        <w:rPr>
          <w:sz w:val="20"/>
        </w:rPr>
      </w:pPr>
    </w:p>
    <w:p>
      <w:pPr>
        <w:pStyle w:val="BodyText"/>
        <w:spacing w:before="7"/>
        <w:rPr>
          <w:sz w:val="18"/>
        </w:rPr>
      </w:pPr>
    </w:p>
    <w:p>
      <w:pPr>
        <w:tabs>
          <w:tab w:val="left" w:pos="4081"/>
        </w:tabs>
        <w:spacing w:line="240" w:lineRule="auto"/>
        <w:ind w:left="631" w:right="0" w:firstLine="0"/>
        <w:rPr>
          <w:sz w:val="20"/>
        </w:rPr>
      </w:pPr>
      <w:r>
        <w:rPr>
          <w:sz w:val="20"/>
        </w:rPr>
        <w:pict>
          <v:group id="_x0000_i1120" style="width:146.4pt;height:96.85pt;mso-position-horizontal-relative:char;mso-position-vertical-relative:line" coordorigin="0,0" coordsize="2928,1937">
            <v:shape id="_x0000_s1121" style="width:2652;height:1661;left:138;position:absolute;top:138" coordorigin="138,138" coordsize="2652,1661" path="m147,138l142,138,138,142,138,147,138,1790,138,1795,142,1798,147,1798,2781,1798,2785,1798,2789,1795,2789,1790,2789,147,2789,142,2785,138,2781,138,147,138xe" filled="f" stroked="t" strokecolor="#231f20" strokeweight="0.66pt">
              <v:stroke dashstyle="solid"/>
              <v:path arrowok="t"/>
            </v:shape>
            <v:shape id="_x0000_s1122" style="width:2915;height:1924;left:6;position:absolute;top:6" coordorigin="7,7" coordsize="2915,1924" path="m2781,1930l147,1930,92,1919,48,1889,18,1844,7,1790,7,147,18,92,48,48,92,18,147,7,2781,7,2835,18,2880,48,2910,92,2921,147,2921,1790,2910,1844,2880,1889,2835,1919,2781,1930xe" filled="f" stroked="t" strokecolor="#231f20" strokeweight="0.66pt">
              <v:stroke dashstyle="solid"/>
              <v:path arrowok="t"/>
            </v:shape>
            <v:shape id="_x0000_s1123" style="width:1152;height:481;left:72;position:absolute;top:72" coordorigin="72,72" coordsize="1152,481" path="m72,553l72,147,78,118,94,94,118,78,147,72,1224,72e" filled="f" stroked="t" strokecolor="#939598" strokeweight="5.92pt">
              <v:stroke dashstyle="solid"/>
              <v:path arrowok="t"/>
            </v:shape>
            <v:shape id="_x0000_s1124" style="width:2783;height:1792;left:72;position:absolute;top:72" coordorigin="72,72" coordsize="2783,1792" path="m1224,72l2781,72,2810,78,2833,94,2849,118,2855,147,2855,1790,2849,1819,2833,1842,2810,1858,2781,1864,147,1864,118,1858,94,1842,78,1819,72,1790,72,553e" filled="f" stroked="t" strokecolor="#231f20" strokeweight="6.58pt">
              <v:stroke dashstyle="solid"/>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width:146;height:386;left:1568;position:absolute;top:923" stroked="f">
              <v:imagedata r:id="rId73" o:title=""/>
            </v:shape>
            <v:shape id="_x0000_s1126" style="width:140;height:476;left:1571;position:absolute;top:450" coordorigin="1571,450" coordsize="140,476" path="m1571,926l1571,450,1711,450,1711,926e" filled="f" stroked="t" strokecolor="#231f20" strokeweight="0.29pt">
              <v:stroke dashstyle="solid"/>
              <v:path arrowok="t"/>
            </v:shape>
            <v:line id="_x0000_s1127" style="position:absolute" from="1571,926" to="1711,926" stroked="t" strokecolor="#231f20" strokeweight="0.29pt">
              <v:stroke dashstyle="solid"/>
            </v:line>
            <v:shape id="_x0000_s1128" type="#_x0000_t202" style="width:292;height:359;left:1216;position:absolute;top:406" filled="f" stroked="f">
              <v:textbox inset="0,0,0,0">
                <w:txbxContent>
                  <w:p>
                    <w:pPr>
                      <w:spacing w:before="24"/>
                      <w:ind w:left="0" w:right="18" w:firstLine="0"/>
                      <w:jc w:val="right"/>
                      <w:rPr>
                        <w:rFonts w:ascii="Arial"/>
                        <w:b/>
                        <w:sz w:val="10"/>
                      </w:rPr>
                    </w:pPr>
                    <w:r>
                      <w:rPr>
                        <w:rFonts w:ascii="Arial"/>
                        <w:b/>
                        <w:color w:val="231F20"/>
                        <w:w w:val="95"/>
                        <w:position w:val="2"/>
                        <w:sz w:val="10"/>
                      </w:rPr>
                      <w:t>C</w:t>
                    </w:r>
                    <w:r>
                      <w:rPr>
                        <w:rFonts w:ascii="Arial"/>
                        <w:b/>
                        <w:color w:val="231F20"/>
                        <w:w w:val="95"/>
                        <w:position w:val="2"/>
                        <w:sz w:val="10"/>
                        <w:vertAlign w:val="superscript"/>
                      </w:rPr>
                      <w:t>18</w:t>
                    </w:r>
                    <w:r>
                      <w:rPr>
                        <w:rFonts w:ascii="Arial"/>
                        <w:b/>
                        <w:color w:val="231F20"/>
                        <w:w w:val="95"/>
                        <w:position w:val="2"/>
                        <w:sz w:val="10"/>
                        <w:vertAlign w:val="baseline"/>
                      </w:rPr>
                      <w:t>O</w:t>
                    </w:r>
                    <w:r>
                      <w:rPr>
                        <w:rFonts w:ascii="Arial"/>
                        <w:b/>
                        <w:color w:val="231F20"/>
                        <w:w w:val="95"/>
                        <w:position w:val="2"/>
                        <w:sz w:val="10"/>
                        <w:vertAlign w:val="subscript"/>
                      </w:rPr>
                      <w:t>2</w:t>
                    </w:r>
                  </w:p>
                  <w:p>
                    <w:pPr>
                      <w:spacing w:before="43"/>
                      <w:ind w:left="0" w:right="18" w:firstLine="0"/>
                      <w:jc w:val="right"/>
                      <w:rPr>
                        <w:rFonts w:ascii="Arial"/>
                        <w:b/>
                        <w:sz w:val="10"/>
                      </w:rPr>
                    </w:pPr>
                    <w:r>
                      <w:rPr>
                        <w:rFonts w:ascii="Arial"/>
                        <w:b/>
                        <w:color w:val="231F20"/>
                        <w:sz w:val="7"/>
                      </w:rPr>
                      <w:t>18</w:t>
                    </w:r>
                    <w:r>
                      <w:rPr>
                        <w:rFonts w:ascii="Arial"/>
                        <w:b/>
                        <w:color w:val="231F20"/>
                        <w:position w:val="-3"/>
                        <w:sz w:val="10"/>
                      </w:rPr>
                      <w:t>O</w:t>
                    </w:r>
                  </w:p>
                </w:txbxContent>
              </v:textbox>
            </v:shape>
            <v:shape id="_x0000_s1129" type="#_x0000_t202" style="width:134;height:172;left:1216;position:absolute;top:595" filled="f" stroked="f">
              <v:textbox inset="0,0,0,0">
                <w:txbxContent>
                  <w:p>
                    <w:pPr>
                      <w:spacing w:before="24"/>
                      <w:ind w:left="0" w:right="0" w:firstLine="0"/>
                      <w:jc w:val="left"/>
                      <w:rPr>
                        <w:rFonts w:ascii="Arial"/>
                        <w:b/>
                        <w:sz w:val="10"/>
                      </w:rPr>
                    </w:pPr>
                    <w:r>
                      <w:rPr>
                        <w:rFonts w:ascii="Arial"/>
                        <w:b/>
                        <w:color w:val="231F20"/>
                        <w:position w:val="2"/>
                        <w:sz w:val="10"/>
                      </w:rPr>
                      <w:t>H</w:t>
                    </w:r>
                    <w:r>
                      <w:rPr>
                        <w:rFonts w:ascii="Arial"/>
                        <w:b/>
                        <w:color w:val="231F20"/>
                        <w:position w:val="2"/>
                        <w:sz w:val="10"/>
                        <w:vertAlign w:val="subscript"/>
                      </w:rPr>
                      <w:t>2</w:t>
                    </w:r>
                  </w:p>
                </w:txbxContent>
              </v:textbox>
            </v:shape>
            <w10:wrap type="none"/>
          </v:group>
        </w:pict>
      </w:r>
      <w:r>
        <w:rPr>
          <w:sz w:val="20"/>
        </w:rPr>
        <w:tab/>
      </w:r>
      <w:r>
        <w:rPr>
          <w:sz w:val="20"/>
        </w:rPr>
        <w:pict>
          <v:group id="_x0000_i1130" style="width:146.4pt;height:96.85pt;mso-position-horizontal-relative:char;mso-position-vertical-relative:line" coordorigin="0,0" coordsize="2928,1937">
            <v:shape id="_x0000_s1131" style="width:2652;height:1661;left:138;position:absolute;top:138" coordorigin="138,138" coordsize="2652,1661" path="m147,138l142,138,138,142,138,147,138,1790,138,1795,142,1798,147,1798,2781,1798,2785,1798,2789,1795,2789,1790,2789,147,2789,142,2785,138,2781,138,147,138xe" filled="f" stroked="t" strokecolor="#231f20" strokeweight="0.66pt">
              <v:stroke dashstyle="solid"/>
              <v:path arrowok="t"/>
            </v:shape>
            <v:shape id="_x0000_s1132" style="width:2915;height:1924;left:6;position:absolute;top:6" coordorigin="7,7" coordsize="2915,1924" path="m2781,1930l147,1930,92,1919,48,1889,18,1844,7,1790,7,147,18,92,48,48,92,18,147,7,2781,7,2835,18,2880,48,2910,92,2921,147,2921,1790,2910,1844,2880,1889,2835,1919,2781,1930xe" filled="f" stroked="t" strokecolor="#231f20" strokeweight="0.66pt">
              <v:stroke dashstyle="solid"/>
              <v:path arrowok="t"/>
            </v:shape>
            <v:shape id="_x0000_s1133" style="width:1152;height:481;left:72;position:absolute;top:72" coordorigin="72,72" coordsize="1152,481" path="m72,553l72,147,78,118,94,94,118,78,147,72,1224,72e" filled="f" stroked="t" strokecolor="#939598" strokeweight="5.92pt">
              <v:stroke dashstyle="solid"/>
              <v:path arrowok="t"/>
            </v:shape>
            <v:shape id="_x0000_s1134" style="width:2783;height:1792;left:72;position:absolute;top:72" coordorigin="72,72" coordsize="2783,1792" path="m1224,72l2781,72,2810,78,2833,94,2849,118,2855,147,2855,1790,2849,1819,2833,1842,2810,1858,2781,1864,147,1864,118,1858,94,1842,78,1819,72,1790,72,553e" filled="f" stroked="t" strokecolor="#231f20" strokeweight="6.58pt">
              <v:stroke dashstyle="solid"/>
              <v:path arrowok="t"/>
            </v:shape>
            <v:shape id="_x0000_s1135" type="#_x0000_t75" style="width:146;height:386;left:873;position:absolute;top:923" stroked="f">
              <v:imagedata r:id="rId74" o:title=""/>
            </v:shape>
            <v:shape id="_x0000_s1136" style="width:140;height:476;left:876;position:absolute;top:450" coordorigin="877,450" coordsize="140,476" path="m877,926l877,450,1016,450,1016,926e" filled="f" stroked="t" strokecolor="#231f20" strokeweight="0.29pt">
              <v:stroke dashstyle="solid"/>
              <v:path arrowok="t"/>
            </v:shape>
            <v:line id="_x0000_s1137" style="position:absolute" from="877,926" to="1016,926" stroked="t" strokecolor="#231f20" strokeweight="0.29pt">
              <v:stroke dashstyle="solid"/>
            </v:line>
            <v:shape id="_x0000_s1138" type="#_x0000_t75" style="width:146;height:386;left:1924;position:absolute;top:923" stroked="f">
              <v:imagedata r:id="rId74" o:title=""/>
            </v:shape>
            <v:shape id="_x0000_s1139" style="width:140;height:476;left:1927;position:absolute;top:450" coordorigin="1927,450" coordsize="140,476" path="m1927,926l1927,450,2067,450,2067,926e" filled="f" stroked="t" strokecolor="#231f20" strokeweight="0.29pt">
              <v:stroke dashstyle="solid"/>
              <v:path arrowok="t"/>
            </v:shape>
            <v:line id="_x0000_s1140" style="position:absolute" from="1927,926" to="2067,926" stroked="t" strokecolor="#231f20" strokeweight="0.29pt">
              <v:stroke dashstyle="solid"/>
            </v:line>
            <v:shape id="_x0000_s1141" type="#_x0000_t202" style="width:134;height:172;left:522;position:absolute;top:407" filled="f" stroked="f">
              <v:textbox inset="0,0,0,0">
                <w:txbxContent>
                  <w:p>
                    <w:pPr>
                      <w:spacing w:before="24"/>
                      <w:ind w:left="0" w:right="0" w:firstLine="0"/>
                      <w:jc w:val="left"/>
                      <w:rPr>
                        <w:rFonts w:ascii="Arial"/>
                        <w:b/>
                        <w:sz w:val="10"/>
                      </w:rPr>
                    </w:pPr>
                    <w:r>
                      <w:rPr>
                        <w:rFonts w:ascii="Arial"/>
                        <w:b/>
                        <w:color w:val="231F20"/>
                        <w:position w:val="2"/>
                        <w:sz w:val="10"/>
                      </w:rPr>
                      <w:t>H</w:t>
                    </w:r>
                    <w:r>
                      <w:rPr>
                        <w:rFonts w:ascii="Arial"/>
                        <w:b/>
                        <w:color w:val="231F20"/>
                        <w:position w:val="2"/>
                        <w:sz w:val="10"/>
                        <w:vertAlign w:val="subscript"/>
                      </w:rPr>
                      <w:t>2</w:t>
                    </w:r>
                  </w:p>
                </w:txbxContent>
              </v:textbox>
            </v:shape>
            <v:shape id="_x0000_s1142" type="#_x0000_t202" style="width:178;height:171;left:636;position:absolute;top:406" filled="f" stroked="f">
              <v:textbox inset="0,0,0,0">
                <w:txbxContent>
                  <w:p>
                    <w:pPr>
                      <w:spacing w:before="14"/>
                      <w:ind w:left="0" w:right="0" w:firstLine="0"/>
                      <w:jc w:val="left"/>
                      <w:rPr>
                        <w:rFonts w:ascii="Arial"/>
                        <w:b/>
                        <w:sz w:val="10"/>
                      </w:rPr>
                    </w:pPr>
                    <w:r>
                      <w:rPr>
                        <w:rFonts w:ascii="Arial"/>
                        <w:b/>
                        <w:color w:val="231F20"/>
                        <w:sz w:val="7"/>
                      </w:rPr>
                      <w:t>18</w:t>
                    </w:r>
                    <w:r>
                      <w:rPr>
                        <w:rFonts w:ascii="Arial"/>
                        <w:b/>
                        <w:color w:val="231F20"/>
                        <w:position w:val="-3"/>
                        <w:sz w:val="10"/>
                      </w:rPr>
                      <w:t>O</w:t>
                    </w:r>
                  </w:p>
                </w:txbxContent>
              </v:textbox>
            </v:shape>
            <v:shape id="_x0000_s1143" type="#_x0000_t202" style="width:253;height:171;left:2133;position:absolute;top:406" filled="f" stroked="f">
              <v:textbox inset="0,0,0,0">
                <w:txbxContent>
                  <w:p>
                    <w:pPr>
                      <w:spacing w:before="14"/>
                      <w:ind w:left="0" w:right="0" w:firstLine="0"/>
                      <w:jc w:val="left"/>
                      <w:rPr>
                        <w:rFonts w:ascii="Arial"/>
                        <w:b/>
                        <w:sz w:val="10"/>
                      </w:rPr>
                    </w:pPr>
                    <w:r>
                      <w:rPr>
                        <w:rFonts w:ascii="Arial"/>
                        <w:b/>
                        <w:color w:val="231F20"/>
                        <w:position w:val="-3"/>
                        <w:sz w:val="10"/>
                      </w:rPr>
                      <w:t>C</w:t>
                    </w:r>
                    <w:r>
                      <w:rPr>
                        <w:rFonts w:ascii="Arial"/>
                        <w:b/>
                        <w:color w:val="231F20"/>
                        <w:sz w:val="7"/>
                      </w:rPr>
                      <w:t>18</w:t>
                    </w:r>
                    <w:r>
                      <w:rPr>
                        <w:rFonts w:ascii="Arial"/>
                        <w:b/>
                        <w:color w:val="231F20"/>
                        <w:position w:val="-3"/>
                        <w:sz w:val="10"/>
                      </w:rPr>
                      <w:t>O</w:t>
                    </w:r>
                  </w:p>
                </w:txbxContent>
              </v:textbox>
            </v:shape>
            <v:shape id="_x0000_s1144" type="#_x0000_t202" style="width:59;height:114;left:2366;position:absolute;top:464" filled="f" stroked="f">
              <v:textbox inset="0,0,0,0">
                <w:txbxContent>
                  <w:p>
                    <w:pPr>
                      <w:spacing w:before="14"/>
                      <w:ind w:left="0" w:right="0" w:firstLine="0"/>
                      <w:jc w:val="left"/>
                      <w:rPr>
                        <w:rFonts w:ascii="Arial"/>
                        <w:b/>
                        <w:sz w:val="7"/>
                      </w:rPr>
                    </w:pPr>
                    <w:r>
                      <w:rPr>
                        <w:rFonts w:ascii="Arial"/>
                        <w:b/>
                        <w:color w:val="231F20"/>
                        <w:w w:val="98"/>
                        <w:sz w:val="7"/>
                      </w:rPr>
                      <w:t>2</w:t>
                    </w:r>
                  </w:p>
                </w:txbxContent>
              </v:textbox>
            </v:shape>
            <v:shape id="_x0000_s1145" type="#_x0000_t202" style="width:332;height:113;left:790;position:absolute;top:1425" filled="f" stroked="f">
              <v:textbox inset="0,0,0,0">
                <w:txbxContent>
                  <w:p>
                    <w:pPr>
                      <w:spacing w:before="0" w:line="111" w:lineRule="exact"/>
                      <w:ind w:left="0" w:right="0" w:firstLine="0"/>
                      <w:jc w:val="left"/>
                      <w:rPr>
                        <w:rFonts w:ascii="Times New Roman" w:eastAsia="Times New Roman" w:hAnsi="Times New Roman" w:cs="Times New Roman"/>
                        <w:sz w:val="10"/>
                        <w:szCs w:val="10"/>
                      </w:rPr>
                    </w:pPr>
                    <w:r>
                      <w:rPr>
                        <w:rFonts w:ascii="Times New Roman" w:eastAsia="Times New Roman" w:hAnsi="Times New Roman" w:cs="Times New Roman"/>
                        <w:color w:val="231F20"/>
                        <w:w w:val="157"/>
                        <w:sz w:val="10"/>
                        <w:szCs w:val="10"/>
                        <w:rtl/>
                      </w:rPr>
                      <w:t>ࠄ</w:t>
                    </w:r>
                    <w:r>
                      <w:rPr>
                        <w:rFonts w:ascii="Times New Roman" w:eastAsia="Times New Roman" w:hAnsi="Times New Roman" w:cs="Times New Roman"/>
                        <w:color w:val="231F20"/>
                        <w:w w:val="157"/>
                        <w:sz w:val="10"/>
                        <w:szCs w:val="10"/>
                      </w:rPr>
                      <w:t>ᰎ</w:t>
                    </w:r>
                    <w:r>
                      <w:rPr>
                        <w:rFonts w:ascii="Times New Roman" w:eastAsia="Times New Roman" w:hAnsi="Times New Roman" w:cs="Times New Roman"/>
                        <w:color w:val="231F20"/>
                        <w:w w:val="157"/>
                        <w:sz w:val="10"/>
                        <w:szCs w:val="10"/>
                      </w:rPr>
                      <w:t>ʷ</w:t>
                    </w:r>
                  </w:p>
                </w:txbxContent>
              </v:textbox>
            </v:shape>
            <v:shape id="_x0000_s1146" type="#_x0000_t202" style="width:332;height:113;left:1841;position:absolute;top:1425" filled="f" stroked="f">
              <v:textbox inset="0,0,0,0">
                <w:txbxContent>
                  <w:p>
                    <w:pPr>
                      <w:spacing w:before="0" w:line="111" w:lineRule="exact"/>
                      <w:ind w:left="0" w:right="0" w:firstLine="0"/>
                      <w:jc w:val="left"/>
                      <w:rPr>
                        <w:rFonts w:ascii="Times New Roman" w:eastAsia="Times New Roman" w:hAnsi="Times New Roman" w:cs="Times New Roman"/>
                        <w:sz w:val="10"/>
                        <w:szCs w:val="10"/>
                      </w:rPr>
                    </w:pPr>
                    <w:r>
                      <w:rPr>
                        <w:rFonts w:ascii="Times New Roman" w:eastAsia="Times New Roman" w:hAnsi="Times New Roman" w:cs="Times New Roman"/>
                        <w:color w:val="231F20"/>
                        <w:w w:val="135"/>
                        <w:sz w:val="10"/>
                        <w:szCs w:val="10"/>
                        <w:rtl/>
                      </w:rPr>
                      <w:t>ࠄ</w:t>
                    </w:r>
                    <w:r>
                      <w:rPr>
                        <w:rFonts w:ascii="Times New Roman" w:eastAsia="Times New Roman" w:hAnsi="Times New Roman" w:cs="Times New Roman"/>
                        <w:color w:val="231F20"/>
                        <w:w w:val="135"/>
                        <w:sz w:val="10"/>
                        <w:szCs w:val="10"/>
                      </w:rPr>
                      <w:t>ᰎ</w:t>
                    </w:r>
                    <w:r>
                      <w:rPr>
                        <w:rFonts w:ascii="Times New Roman" w:eastAsia="Times New Roman" w:hAnsi="Times New Roman" w:cs="Times New Roman"/>
                        <w:color w:val="231F20"/>
                        <w:w w:val="135"/>
                        <w:sz w:val="10"/>
                        <w:szCs w:val="10"/>
                      </w:rPr>
                      <w:t>̄</w:t>
                    </w:r>
                  </w:p>
                </w:txbxContent>
              </v:textbox>
            </v:shape>
            <w10:wrap type="none"/>
          </v:group>
        </w:pict>
      </w:r>
    </w:p>
    <w:p>
      <w:pPr>
        <w:pStyle w:val="BodyText"/>
        <w:spacing w:before="7"/>
        <w:rPr>
          <w:sz w:val="8"/>
        </w:rPr>
      </w:pPr>
    </w:p>
    <w:p>
      <w:pPr>
        <w:tabs>
          <w:tab w:val="left" w:pos="3341"/>
        </w:tabs>
        <w:spacing w:before="73"/>
        <w:ind w:left="0" w:right="39" w:firstLine="0"/>
        <w:jc w:val="center"/>
        <w:rPr>
          <w:sz w:val="20"/>
        </w:rPr>
      </w:pPr>
      <w:r>
        <w:rPr>
          <w:color w:val="231F20"/>
          <w:spacing w:val="26"/>
          <w:sz w:val="20"/>
        </w:rPr>
        <w:t>图</w:t>
      </w:r>
      <w:r>
        <w:rPr>
          <w:color w:val="231F20"/>
          <w:sz w:val="20"/>
        </w:rPr>
        <w:t>5</w:t>
      </w:r>
      <w:r>
        <w:rPr>
          <w:color w:val="231F20"/>
          <w:spacing w:val="97"/>
          <w:sz w:val="20"/>
        </w:rPr>
        <w:t xml:space="preserve"> </w:t>
      </w:r>
      <w:r>
        <w:rPr>
          <w:color w:val="231F20"/>
          <w:sz w:val="20"/>
        </w:rPr>
        <w:t>学生设计方案之一</w:t>
        <w:tab/>
      </w:r>
      <w:r>
        <w:rPr>
          <w:color w:val="231F20"/>
          <w:spacing w:val="26"/>
          <w:sz w:val="20"/>
        </w:rPr>
        <w:t>图</w:t>
      </w:r>
      <w:r>
        <w:rPr>
          <w:color w:val="231F20"/>
          <w:sz w:val="20"/>
        </w:rPr>
        <w:t>6</w:t>
      </w:r>
      <w:r>
        <w:rPr>
          <w:color w:val="231F20"/>
          <w:spacing w:val="98"/>
          <w:sz w:val="20"/>
        </w:rPr>
        <w:t xml:space="preserve"> </w:t>
      </w:r>
      <w:r>
        <w:rPr>
          <w:color w:val="231F20"/>
          <w:sz w:val="20"/>
        </w:rPr>
        <w:t>学生设计方案之二</w:t>
      </w:r>
    </w:p>
    <w:p>
      <w:pPr>
        <w:pStyle w:val="BodyText"/>
        <w:spacing w:before="93" w:line="328" w:lineRule="auto"/>
        <w:ind w:left="220" w:right="397" w:firstLine="480"/>
        <w:jc w:val="both"/>
      </w:pPr>
      <w:r>
        <w:pict>
          <v:group id="_x0000_s1147" style="width:146.8pt;height:97.1pt;margin-top:95.27pt;margin-left:298.26pt;mso-position-horizontal-relative:page;position:absolute;z-index:-251642880" coordorigin="5965,1905" coordsize="2936,1942">
            <v:shape id="_x0000_s1148" style="width:2923;height:1929;left:-141;position:absolute;top:10787" coordorigin="-141,10788" coordsize="2923,1929" path="m6113,2044l6108,2044,6104,2048,6104,2053,6104,3700,6104,3705,6108,3709,6113,3709,8753,3709,8758,3709,8762,3705,8762,3700,8762,2053,8762,2048,8758,2044,8753,2044,6113,2044xm8753,3841l6113,3841,6058,3830,6013,3799,5983,3755,5972,3700,5972,2053,5983,1998,6013,1953,6058,1923,6113,1912,8753,1912,8808,1923,8853,1953,8883,1998,8894,2053,8894,3700,8883,3755,8853,3799,8808,3830,8753,3841xe" filled="f" stroked="t" strokecolor="#231f20" strokeweight="0.66pt">
              <v:stroke dashstyle="solid"/>
              <v:path arrowok="t"/>
            </v:shape>
            <v:shape id="_x0000_s1149" style="width:1155;height:482;left:6037;position:absolute;top:1977" coordorigin="6038,1978" coordsize="1155,482" path="m6038,2460l6038,2053,6044,2024,6060,2000,6084,1984,6113,1978,7192,1978e" filled="f" stroked="t" strokecolor="#939598" strokeweight="5.94pt">
              <v:stroke dashstyle="solid"/>
              <v:path arrowok="t"/>
            </v:shape>
            <v:shape id="_x0000_s1150" style="width:2791;height:1797;left:6037;position:absolute;top:1977" coordorigin="6038,1978" coordsize="2791,1797" path="m7192,1978l8753,1978,8783,1984,8806,2000,8822,2024,8828,2053,8828,3700,8822,3729,8806,3753,8783,3769,8753,3775,6113,3775,6083,3769,6060,3753,6044,3729,6038,3700,6038,2460e" filled="f" stroked="t" strokecolor="#231f20" strokeweight="6.6pt">
              <v:stroke dashstyle="solid"/>
              <v:path arrowok="t"/>
            </v:shape>
            <v:shape id="_x0000_s1151" type="#_x0000_t75" style="width:146;height:387;left:6841;position:absolute;top:2830" stroked="f">
              <v:imagedata r:id="rId75" o:title=""/>
            </v:shape>
            <v:shape id="_x0000_s1152" style="width:140;height:478;left:-140;position:absolute;top:10442" coordorigin="-140,10442" coordsize="140,478" path="m6844,2834l6844,2357,6984,2357,6984,2834m6844,2834l6984,2834e" filled="f" stroked="t" strokecolor="#231f20" strokeweight="0.29pt">
              <v:stroke dashstyle="solid"/>
              <v:path arrowok="t"/>
            </v:shape>
            <v:shape id="_x0000_s1153" type="#_x0000_t75" style="width:146;height:387;left:7894;position:absolute;top:2830" stroked="f">
              <v:imagedata r:id="rId76" o:title=""/>
            </v:shape>
            <v:shape id="_x0000_s1154" style="width:140;height:478;left:-140;position:absolute;top:10442" coordorigin="-140,10442" coordsize="140,478" path="m7898,2834l7898,2357,8038,2357,8038,2834m7898,2834l8038,2834e" filled="f" stroked="t" strokecolor="#231f20" strokeweight="0.29pt">
              <v:stroke dashstyle="solid"/>
              <v:path arrowok="t"/>
            </v:shape>
            <v:shape id="_x0000_s1155" type="#_x0000_t202" style="width:215;height:172;left:6489;position:absolute;top:2313" filled="f" stroked="f">
              <v:textbox inset="0,0,0,0">
                <w:txbxContent>
                  <w:p>
                    <w:pPr>
                      <w:spacing w:before="24"/>
                      <w:ind w:left="0" w:right="0" w:firstLine="0"/>
                      <w:jc w:val="left"/>
                      <w:rPr>
                        <w:rFonts w:ascii="Arial"/>
                        <w:b/>
                        <w:sz w:val="10"/>
                      </w:rPr>
                    </w:pPr>
                    <w:r>
                      <w:rPr>
                        <w:rFonts w:ascii="Arial"/>
                        <w:b/>
                        <w:color w:val="231F20"/>
                        <w:position w:val="2"/>
                        <w:sz w:val="10"/>
                      </w:rPr>
                      <w:t>CO</w:t>
                    </w:r>
                    <w:r>
                      <w:rPr>
                        <w:rFonts w:ascii="Arial"/>
                        <w:b/>
                        <w:color w:val="231F20"/>
                        <w:position w:val="2"/>
                        <w:sz w:val="10"/>
                        <w:vertAlign w:val="subscript"/>
                      </w:rPr>
                      <w:t>2</w:t>
                    </w:r>
                  </w:p>
                </w:txbxContent>
              </v:textbox>
            </v:shape>
            <v:shape id="_x0000_s1156" type="#_x0000_t202" style="width:293;height:172;left:8104;position:absolute;top:2313" filled="f" stroked="f">
              <v:textbox inset="0,0,0,0">
                <w:txbxContent>
                  <w:p>
                    <w:pPr>
                      <w:spacing w:before="24"/>
                      <w:ind w:left="0" w:right="0" w:firstLine="0"/>
                      <w:jc w:val="left"/>
                      <w:rPr>
                        <w:rFonts w:ascii="Arial"/>
                        <w:b/>
                        <w:sz w:val="10"/>
                      </w:rPr>
                    </w:pPr>
                    <w:r>
                      <w:rPr>
                        <w:rFonts w:ascii="Arial"/>
                        <w:b/>
                        <w:color w:val="231F20"/>
                        <w:position w:val="2"/>
                        <w:sz w:val="10"/>
                      </w:rPr>
                      <w:t>C</w:t>
                    </w:r>
                    <w:r>
                      <w:rPr>
                        <w:rFonts w:ascii="Arial"/>
                        <w:b/>
                        <w:color w:val="231F20"/>
                        <w:position w:val="2"/>
                        <w:sz w:val="10"/>
                        <w:vertAlign w:val="superscript"/>
                      </w:rPr>
                      <w:t>18</w:t>
                    </w:r>
                    <w:r>
                      <w:rPr>
                        <w:rFonts w:ascii="Arial"/>
                        <w:b/>
                        <w:color w:val="231F20"/>
                        <w:position w:val="2"/>
                        <w:sz w:val="10"/>
                        <w:vertAlign w:val="baseline"/>
                      </w:rPr>
                      <w:t>O</w:t>
                    </w:r>
                    <w:r>
                      <w:rPr>
                        <w:rFonts w:ascii="Arial"/>
                        <w:b/>
                        <w:color w:val="231F20"/>
                        <w:position w:val="2"/>
                        <w:sz w:val="10"/>
                        <w:vertAlign w:val="subscript"/>
                      </w:rPr>
                      <w:t>2</w:t>
                    </w:r>
                  </w:p>
                </w:txbxContent>
              </v:textbox>
            </v:shape>
            <v:shape id="_x0000_s1157" type="#_x0000_t202" style="width:293;height:172;left:6489;position:absolute;top:2502" filled="f" stroked="f">
              <v:textbox inset="0,0,0,0">
                <w:txbxContent>
                  <w:p>
                    <w:pPr>
                      <w:spacing w:before="15"/>
                      <w:ind w:left="0" w:right="0" w:firstLine="0"/>
                      <w:jc w:val="left"/>
                      <w:rPr>
                        <w:rFonts w:ascii="Arial"/>
                        <w:b/>
                        <w:sz w:val="10"/>
                      </w:rPr>
                    </w:pPr>
                    <w:r>
                      <w:rPr>
                        <w:rFonts w:ascii="Arial"/>
                        <w:b/>
                        <w:color w:val="231F20"/>
                        <w:w w:val="105"/>
                        <w:position w:val="-3"/>
                        <w:sz w:val="10"/>
                      </w:rPr>
                      <w:t xml:space="preserve">H </w:t>
                    </w:r>
                    <w:r>
                      <w:rPr>
                        <w:rFonts w:ascii="Arial"/>
                        <w:b/>
                        <w:color w:val="231F20"/>
                        <w:w w:val="105"/>
                        <w:sz w:val="7"/>
                      </w:rPr>
                      <w:t>18</w:t>
                    </w:r>
                    <w:r>
                      <w:rPr>
                        <w:rFonts w:ascii="Arial"/>
                        <w:b/>
                        <w:color w:val="231F20"/>
                        <w:w w:val="105"/>
                        <w:position w:val="-3"/>
                        <w:sz w:val="10"/>
                      </w:rPr>
                      <w:t>O</w:t>
                    </w:r>
                  </w:p>
                </w:txbxContent>
              </v:textbox>
            </v:shape>
            <v:shape id="_x0000_s1158" type="#_x0000_t202" style="width:59;height:114;left:6564;position:absolute;top:2559" filled="f" stroked="f">
              <v:textbox inset="0,0,0,0">
                <w:txbxContent>
                  <w:p>
                    <w:pPr>
                      <w:spacing w:before="15"/>
                      <w:ind w:left="0" w:right="0" w:firstLine="0"/>
                      <w:jc w:val="left"/>
                      <w:rPr>
                        <w:rFonts w:ascii="Arial"/>
                        <w:b/>
                        <w:sz w:val="7"/>
                      </w:rPr>
                    </w:pPr>
                    <w:r>
                      <w:rPr>
                        <w:rFonts w:ascii="Arial"/>
                        <w:b/>
                        <w:color w:val="231F20"/>
                        <w:w w:val="99"/>
                        <w:sz w:val="7"/>
                      </w:rPr>
                      <w:t>2</w:t>
                    </w:r>
                  </w:p>
                </w:txbxContent>
              </v:textbox>
            </v:shape>
            <v:shape id="_x0000_s1159" type="#_x0000_t202" style="width:215;height:172;left:8104;position:absolute;top:2502" filled="f" stroked="f">
              <v:textbox inset="0,0,0,0">
                <w:txbxContent>
                  <w:p>
                    <w:pPr>
                      <w:spacing w:before="24"/>
                      <w:ind w:left="0" w:right="0" w:firstLine="0"/>
                      <w:jc w:val="left"/>
                      <w:rPr>
                        <w:rFonts w:ascii="Arial"/>
                        <w:b/>
                        <w:sz w:val="10"/>
                      </w:rPr>
                    </w:pPr>
                    <w:r>
                      <w:rPr>
                        <w:rFonts w:ascii="Arial"/>
                        <w:b/>
                        <w:color w:val="231F20"/>
                        <w:position w:val="2"/>
                        <w:sz w:val="10"/>
                      </w:rPr>
                      <w:t>H</w:t>
                    </w:r>
                    <w:r>
                      <w:rPr>
                        <w:rFonts w:ascii="Arial"/>
                        <w:b/>
                        <w:color w:val="231F20"/>
                        <w:position w:val="2"/>
                        <w:sz w:val="10"/>
                        <w:vertAlign w:val="subscript"/>
                      </w:rPr>
                      <w:t>2</w:t>
                    </w:r>
                    <w:r>
                      <w:rPr>
                        <w:rFonts w:ascii="Arial"/>
                        <w:b/>
                        <w:color w:val="231F20"/>
                        <w:position w:val="2"/>
                        <w:sz w:val="10"/>
                        <w:vertAlign w:val="baseline"/>
                      </w:rPr>
                      <w:t>O</w:t>
                    </w:r>
                  </w:p>
                </w:txbxContent>
              </v:textbox>
            </v:shape>
            <v:shape id="_x0000_s1160" type="#_x0000_t202" style="width:333;height:114;left:6758;position:absolute;top:3335" filled="f" stroked="f">
              <v:textbox inset="0,0,0,0">
                <w:txbxContent>
                  <w:p>
                    <w:pPr>
                      <w:spacing w:before="0" w:line="112" w:lineRule="exact"/>
                      <w:ind w:left="0" w:right="0" w:firstLine="0"/>
                      <w:jc w:val="left"/>
                      <w:rPr>
                        <w:rFonts w:ascii="Times New Roman" w:eastAsia="Times New Roman" w:hAnsi="Times New Roman" w:cs="Times New Roman"/>
                        <w:i/>
                        <w:sz w:val="10"/>
                        <w:szCs w:val="10"/>
                      </w:rPr>
                    </w:pPr>
                    <w:r>
                      <w:rPr>
                        <w:rFonts w:ascii="Times New Roman" w:eastAsia="Times New Roman" w:hAnsi="Times New Roman" w:cs="Times New Roman"/>
                        <w:i/>
                        <w:color w:val="231F20"/>
                        <w:w w:val="160"/>
                        <w:sz w:val="10"/>
                        <w:szCs w:val="10"/>
                        <w:rtl/>
                      </w:rPr>
                      <w:t>ࠄ</w:t>
                    </w:r>
                    <w:r>
                      <w:rPr>
                        <w:rFonts w:ascii="Times New Roman" w:eastAsia="Times New Roman" w:hAnsi="Times New Roman" w:cs="Times New Roman"/>
                        <w:i/>
                        <w:color w:val="231F20"/>
                        <w:w w:val="160"/>
                        <w:sz w:val="10"/>
                        <w:szCs w:val="10"/>
                      </w:rPr>
                      <w:t>ᰎ</w:t>
                    </w:r>
                    <w:r>
                      <w:rPr>
                        <w:rFonts w:ascii="Times New Roman" w:eastAsia="Times New Roman" w:hAnsi="Times New Roman" w:cs="Times New Roman"/>
                        <w:i/>
                        <w:color w:val="231F20"/>
                        <w:w w:val="160"/>
                        <w:sz w:val="10"/>
                        <w:szCs w:val="10"/>
                      </w:rPr>
                      <w:t>ʷ</w:t>
                    </w:r>
                  </w:p>
                </w:txbxContent>
              </v:textbox>
            </v:shape>
            <v:shape id="_x0000_s1161" type="#_x0000_t202" style="width:333;height:114;left:7811;position:absolute;top:3335" filled="f" stroked="f">
              <v:textbox inset="0,0,0,0">
                <w:txbxContent>
                  <w:p>
                    <w:pPr>
                      <w:spacing w:before="0" w:line="112" w:lineRule="exact"/>
                      <w:ind w:left="0" w:right="0" w:firstLine="0"/>
                      <w:jc w:val="left"/>
                      <w:rPr>
                        <w:rFonts w:ascii="Times New Roman" w:eastAsia="Times New Roman" w:hAnsi="Times New Roman" w:cs="Times New Roman"/>
                        <w:i/>
                        <w:sz w:val="10"/>
                        <w:szCs w:val="10"/>
                      </w:rPr>
                    </w:pPr>
                    <w:r>
                      <w:rPr>
                        <w:rFonts w:ascii="Times New Roman" w:eastAsia="Times New Roman" w:hAnsi="Times New Roman" w:cs="Times New Roman"/>
                        <w:i/>
                        <w:color w:val="231F20"/>
                        <w:w w:val="135"/>
                        <w:sz w:val="10"/>
                        <w:szCs w:val="10"/>
                        <w:rtl/>
                      </w:rPr>
                      <w:t>ࠄ</w:t>
                    </w:r>
                    <w:r>
                      <w:rPr>
                        <w:rFonts w:ascii="Times New Roman" w:eastAsia="Times New Roman" w:hAnsi="Times New Roman" w:cs="Times New Roman"/>
                        <w:i/>
                        <w:color w:val="231F20"/>
                        <w:w w:val="135"/>
                        <w:sz w:val="10"/>
                        <w:szCs w:val="10"/>
                      </w:rPr>
                      <w:t>ᰎ</w:t>
                    </w:r>
                    <w:r>
                      <w:rPr>
                        <w:rFonts w:ascii="Times New Roman" w:eastAsia="Times New Roman" w:hAnsi="Times New Roman" w:cs="Times New Roman"/>
                        <w:i/>
                        <w:color w:val="231F20"/>
                        <w:w w:val="135"/>
                        <w:sz w:val="10"/>
                        <w:szCs w:val="10"/>
                      </w:rPr>
                      <w:t>̄</w:t>
                    </w:r>
                  </w:p>
                </w:txbxContent>
              </v:textbox>
            </v:shape>
          </v:group>
        </w:pict>
      </w:r>
      <w:r>
        <w:rPr>
          <w:color w:val="231F20"/>
        </w:rPr>
        <w:t>教师引导学生进行科学论证，找出设计中的问题。出现图</w:t>
      </w:r>
      <w:r>
        <w:rPr>
          <w:rFonts w:ascii="Times New Roman" w:eastAsia="Times New Roman"/>
          <w:color w:val="231F20"/>
        </w:rPr>
        <w:t xml:space="preserve">5 </w:t>
      </w:r>
      <w:r>
        <w:rPr>
          <w:color w:val="231F20"/>
        </w:rPr>
        <w:t>所示的错误是因为学生对同位素标记法理解不到位，需要将</w:t>
      </w:r>
      <w:r>
        <w:rPr>
          <w:rFonts w:ascii="Times New Roman" w:eastAsia="Times New Roman"/>
          <w:color w:val="231F20"/>
        </w:rPr>
        <w:t>H</w:t>
      </w:r>
      <w:r>
        <w:rPr>
          <w:rFonts w:ascii="Times New Roman" w:eastAsia="Times New Roman"/>
          <w:color w:val="231F20"/>
          <w:vertAlign w:val="subscript"/>
        </w:rPr>
        <w:t>2</w:t>
      </w:r>
      <w:r>
        <w:rPr>
          <w:rFonts w:ascii="Times New Roman" w:eastAsia="Times New Roman"/>
          <w:color w:val="231F20"/>
          <w:vertAlign w:val="baseline"/>
        </w:rPr>
        <w:t xml:space="preserve">O </w:t>
      </w:r>
      <w:r>
        <w:rPr>
          <w:color w:val="231F20"/>
          <w:vertAlign w:val="baseline"/>
        </w:rPr>
        <w:t>和</w:t>
      </w:r>
      <w:r>
        <w:rPr>
          <w:rFonts w:ascii="Times New Roman" w:eastAsia="Times New Roman"/>
          <w:color w:val="231F20"/>
          <w:vertAlign w:val="baseline"/>
        </w:rPr>
        <w:t>CO</w:t>
      </w:r>
      <w:r>
        <w:rPr>
          <w:rFonts w:ascii="Times New Roman" w:eastAsia="Times New Roman"/>
          <w:color w:val="231F20"/>
          <w:vertAlign w:val="subscript"/>
        </w:rPr>
        <w:t xml:space="preserve">2 </w:t>
      </w:r>
      <w:r>
        <w:rPr>
          <w:color w:val="231F20"/>
          <w:vertAlign w:val="baseline"/>
        </w:rPr>
        <w:t>分开标记才能确定氧气的元素来源；完成图</w:t>
      </w:r>
      <w:r>
        <w:rPr>
          <w:rFonts w:ascii="Times New Roman" w:eastAsia="Times New Roman"/>
          <w:color w:val="231F20"/>
          <w:vertAlign w:val="baseline"/>
        </w:rPr>
        <w:t xml:space="preserve">6 </w:t>
      </w:r>
      <w:r>
        <w:rPr>
          <w:color w:val="231F20"/>
          <w:vertAlign w:val="baseline"/>
        </w:rPr>
        <w:t>的学生只关注标记的元素而遗漏了光合作用的其他原料。通过师生共同探讨，逐步完善方案，重建鲁宾和卡门的同位素示踪</w:t>
      </w:r>
    </w:p>
    <w:p>
      <w:pPr>
        <w:pStyle w:val="BodyText"/>
        <w:spacing w:line="301" w:lineRule="exact"/>
        <w:ind w:left="220"/>
        <w:jc w:val="both"/>
      </w:pPr>
      <w:r>
        <w:rPr>
          <w:color w:val="231F20"/>
          <w:spacing w:val="3"/>
        </w:rPr>
        <w:t>实验</w:t>
      </w:r>
      <w:r>
        <w:rPr>
          <w:color w:val="231F20"/>
          <w:spacing w:val="6"/>
        </w:rPr>
        <w:t>（</w:t>
      </w:r>
      <w:r>
        <w:rPr>
          <w:color w:val="231F20"/>
          <w:spacing w:val="32"/>
        </w:rPr>
        <w:t>图</w:t>
      </w:r>
      <w:r>
        <w:rPr>
          <w:rFonts w:ascii="Times New Roman" w:eastAsia="Times New Roman"/>
          <w:color w:val="231F20"/>
          <w:spacing w:val="-28"/>
        </w:rPr>
        <w:t>7</w:t>
      </w:r>
      <w:r>
        <w:rPr>
          <w:color w:val="231F20"/>
          <w:spacing w:val="-28"/>
        </w:rPr>
        <w:t>）</w:t>
      </w:r>
      <w:r>
        <w:rPr>
          <w:color w:val="231F20"/>
          <w:spacing w:val="3"/>
        </w:rPr>
        <w:t>：第一组向植物提供</w:t>
      </w:r>
      <w:r>
        <w:rPr>
          <w:rFonts w:ascii="Times New Roman" w:eastAsia="Times New Roman"/>
          <w:color w:val="231F20"/>
        </w:rPr>
        <w:t>CO</w:t>
      </w:r>
      <w:r>
        <w:rPr>
          <w:rFonts w:ascii="Times New Roman" w:eastAsia="Times New Roman"/>
          <w:color w:val="231F20"/>
          <w:vertAlign w:val="subscript"/>
        </w:rPr>
        <w:t>2</w:t>
      </w:r>
      <w:r>
        <w:rPr>
          <w:color w:val="231F20"/>
          <w:vertAlign w:val="baseline"/>
        </w:rPr>
        <w:t>、</w:t>
      </w:r>
    </w:p>
    <w:p>
      <w:pPr>
        <w:pStyle w:val="BodyText"/>
        <w:spacing w:before="112" w:line="158" w:lineRule="exact"/>
        <w:ind w:left="220"/>
        <w:jc w:val="both"/>
      </w:pPr>
      <w:r>
        <w:rPr>
          <w:rFonts w:ascii="Times New Roman" w:eastAsia="Times New Roman"/>
          <w:color w:val="231F20"/>
        </w:rPr>
        <w:t xml:space="preserve">H </w:t>
      </w:r>
      <w:r>
        <w:rPr>
          <w:rFonts w:ascii="Times New Roman" w:eastAsia="Times New Roman"/>
          <w:color w:val="231F20"/>
          <w:vertAlign w:val="superscript"/>
        </w:rPr>
        <w:t>18</w:t>
      </w:r>
      <w:r>
        <w:rPr>
          <w:rFonts w:ascii="Times New Roman" w:eastAsia="Times New Roman"/>
          <w:color w:val="231F20"/>
          <w:vertAlign w:val="baseline"/>
        </w:rPr>
        <w:t>O</w:t>
      </w:r>
      <w:r>
        <w:rPr>
          <w:color w:val="231F20"/>
          <w:vertAlign w:val="baseline"/>
        </w:rPr>
        <w:t>，第二组向同种植物提供</w:t>
      </w:r>
      <w:r>
        <w:rPr>
          <w:rFonts w:ascii="Times New Roman" w:eastAsia="Times New Roman"/>
          <w:color w:val="231F20"/>
          <w:vertAlign w:val="baseline"/>
        </w:rPr>
        <w:t>C</w:t>
      </w:r>
      <w:r>
        <w:rPr>
          <w:rFonts w:ascii="Times New Roman" w:eastAsia="Times New Roman"/>
          <w:color w:val="231F20"/>
          <w:vertAlign w:val="superscript"/>
        </w:rPr>
        <w:t>18</w:t>
      </w:r>
      <w:r>
        <w:rPr>
          <w:rFonts w:ascii="Times New Roman" w:eastAsia="Times New Roman"/>
          <w:color w:val="231F20"/>
          <w:vertAlign w:val="baseline"/>
        </w:rPr>
        <w:t xml:space="preserve">O </w:t>
      </w:r>
      <w:r>
        <w:rPr>
          <w:color w:val="231F20"/>
          <w:vertAlign w:val="baseline"/>
        </w:rPr>
        <w:t>、</w:t>
      </w:r>
    </w:p>
    <w:p>
      <w:pPr>
        <w:tabs>
          <w:tab w:val="left" w:pos="4068"/>
        </w:tabs>
        <w:spacing w:before="0" w:line="156" w:lineRule="exact"/>
        <w:ind w:left="394" w:right="0" w:firstLine="0"/>
        <w:jc w:val="left"/>
        <w:rPr>
          <w:rFonts w:ascii="Times New Roman"/>
          <w:sz w:val="14"/>
        </w:rPr>
      </w:pPr>
      <w:r>
        <w:rPr>
          <w:rFonts w:ascii="Times New Roman"/>
          <w:color w:val="231F20"/>
          <w:sz w:val="14"/>
        </w:rPr>
        <w:t>2</w:t>
        <w:tab/>
        <w:t>2</w:t>
      </w:r>
    </w:p>
    <w:p>
      <w:pPr>
        <w:spacing w:after="0" w:line="156" w:lineRule="exact"/>
        <w:jc w:val="left"/>
        <w:rPr>
          <w:rFonts w:ascii="Times New Roman"/>
          <w:sz w:val="14"/>
        </w:rPr>
        <w:sectPr>
          <w:pgSz w:w="10780" w:h="15090"/>
          <w:pgMar w:top="1260" w:right="1460" w:bottom="1400" w:left="1480" w:header="1029" w:footer="1217"/>
          <w:cols w:space="708"/>
        </w:sectPr>
      </w:pPr>
    </w:p>
    <w:p>
      <w:pPr>
        <w:pStyle w:val="BodyText"/>
        <w:spacing w:before="105" w:line="328" w:lineRule="auto"/>
        <w:ind w:left="220" w:right="38" w:hanging="1"/>
        <w:jc w:val="both"/>
      </w:pPr>
      <w:r>
        <w:rPr>
          <w:rFonts w:ascii="Times New Roman" w:eastAsia="Times New Roman"/>
          <w:color w:val="231F20"/>
        </w:rPr>
        <w:t>H</w:t>
      </w:r>
      <w:r>
        <w:rPr>
          <w:rFonts w:ascii="Times New Roman" w:eastAsia="Times New Roman"/>
          <w:color w:val="231F20"/>
          <w:vertAlign w:val="subscript"/>
        </w:rPr>
        <w:t>2</w:t>
      </w:r>
      <w:r>
        <w:rPr>
          <w:rFonts w:ascii="Times New Roman" w:eastAsia="Times New Roman"/>
          <w:color w:val="231F20"/>
          <w:vertAlign w:val="baseline"/>
        </w:rPr>
        <w:t xml:space="preserve">O </w:t>
      </w:r>
      <w:r>
        <w:rPr>
          <w:color w:val="231F20"/>
          <w:vertAlign w:val="baseline"/>
        </w:rPr>
        <w:t>；通过检测两支试管内产生的氧气的质量差异来确定氧气中的氧元素是来自于水还是来自于二氧化碳。</w:t>
      </w:r>
    </w:p>
    <w:p>
      <w:pPr>
        <w:pStyle w:val="BodyText"/>
        <w:rPr>
          <w:sz w:val="22"/>
        </w:rPr>
      </w:pPr>
      <w:r>
        <w:br w:type="column"/>
      </w:r>
    </w:p>
    <w:p>
      <w:pPr>
        <w:pStyle w:val="BodyText"/>
        <w:rPr>
          <w:sz w:val="22"/>
        </w:rPr>
      </w:pPr>
    </w:p>
    <w:p>
      <w:pPr>
        <w:pStyle w:val="BodyText"/>
        <w:rPr>
          <w:sz w:val="22"/>
        </w:rPr>
      </w:pPr>
    </w:p>
    <w:p>
      <w:pPr>
        <w:spacing w:before="180"/>
        <w:ind w:left="220" w:right="0" w:firstLine="0"/>
        <w:jc w:val="left"/>
        <w:rPr>
          <w:sz w:val="20"/>
        </w:rPr>
      </w:pPr>
      <w:r>
        <w:rPr>
          <w:color w:val="231F20"/>
          <w:sz w:val="20"/>
        </w:rPr>
        <w:t>图7 鲁宾和卡门的实验重建</w:t>
      </w:r>
    </w:p>
    <w:p>
      <w:pPr>
        <w:spacing w:after="0"/>
        <w:jc w:val="left"/>
        <w:rPr>
          <w:sz w:val="20"/>
        </w:rPr>
        <w:sectPr>
          <w:type w:val="continuous"/>
          <w:pgSz w:w="10780" w:h="15090"/>
          <w:pgMar w:top="1420" w:right="1460" w:bottom="280" w:left="1480" w:header="708" w:footer="708"/>
          <w:cols w:num="2" w:space="708" w:equalWidth="0">
            <w:col w:w="4313" w:space="159"/>
            <w:col w:w="3368"/>
          </w:cols>
        </w:sectPr>
      </w:pPr>
    </w:p>
    <w:p>
      <w:pPr>
        <w:pStyle w:val="BodyText"/>
        <w:spacing w:before="3"/>
        <w:rPr>
          <w:sz w:val="27"/>
        </w:rPr>
      </w:pPr>
    </w:p>
    <w:p>
      <w:pPr>
        <w:pStyle w:val="BodyText"/>
        <w:tabs>
          <w:tab w:val="left" w:pos="1967"/>
        </w:tabs>
        <w:spacing w:before="68" w:line="328" w:lineRule="auto"/>
        <w:ind w:left="220" w:right="290" w:firstLine="480"/>
      </w:pPr>
      <w:r>
        <w:rPr>
          <w:color w:val="231F20"/>
          <w:spacing w:val="7"/>
          <w:position w:val="1"/>
          <w:sz w:val="21"/>
        </w:rPr>
        <w:t>案</w:t>
      </w:r>
      <w:r>
        <w:rPr>
          <w:color w:val="231F20"/>
          <w:spacing w:val="29"/>
          <w:position w:val="1"/>
          <w:sz w:val="21"/>
        </w:rPr>
        <w:t>例</w:t>
      </w:r>
      <w:r>
        <w:rPr>
          <w:rFonts w:ascii="Times New Roman" w:eastAsia="Times New Roman"/>
          <w:b/>
          <w:color w:val="231F20"/>
          <w:position w:val="1"/>
          <w:sz w:val="21"/>
        </w:rPr>
        <w:t>7</w:t>
      </w:r>
      <w:r>
        <w:rPr>
          <w:rFonts w:ascii="Times New Roman" w:eastAsia="Times New Roman"/>
          <w:b/>
          <w:color w:val="231F20"/>
          <w:spacing w:val="-24"/>
          <w:position w:val="1"/>
          <w:sz w:val="21"/>
        </w:rPr>
        <w:t xml:space="preserve"> </w:t>
      </w:r>
      <w:r>
        <w:rPr>
          <w:color w:val="231F20"/>
          <w:spacing w:val="7"/>
          <w:position w:val="1"/>
          <w:sz w:val="21"/>
        </w:rPr>
        <w:t>评</w:t>
      </w:r>
      <w:r>
        <w:rPr>
          <w:color w:val="231F20"/>
          <w:position w:val="1"/>
          <w:sz w:val="21"/>
        </w:rPr>
        <w:t>析</w:t>
        <w:tab/>
      </w:r>
      <w:r>
        <w:rPr>
          <w:color w:val="231F20"/>
          <w:spacing w:val="8"/>
        </w:rPr>
        <w:t>科学史通常是以文字形式记载</w:t>
      </w:r>
      <w:r>
        <w:rPr>
          <w:color w:val="231F20"/>
        </w:rPr>
        <w:t>的</w:t>
      </w:r>
      <w:r>
        <w:rPr>
          <w:color w:val="231F20"/>
          <w:spacing w:val="8"/>
        </w:rPr>
        <w:t>，在教学中可借助</w:t>
      </w:r>
      <w:r>
        <w:rPr>
          <w:color w:val="231F20"/>
        </w:rPr>
        <w:t>信息技术将其转换成直观的视频或者图像予以再现。同时，在教学中教师可借助交互式白板及时了解学生设计的方案，发现学生设计中的薄弱点，开展有针对性的教学引导，指向本节课的教学目标。该信息</w:t>
      </w:r>
      <w:r>
        <w:rPr>
          <w:color w:val="231F20"/>
          <w:spacing w:val="4"/>
        </w:rPr>
        <w:t>技术平台所提供的快速交互功</w:t>
      </w:r>
      <w:r>
        <w:rPr>
          <w:color w:val="231F20"/>
        </w:rPr>
        <w:t>能</w:t>
      </w:r>
      <w:r>
        <w:rPr>
          <w:color w:val="231F20"/>
          <w:spacing w:val="4"/>
        </w:rPr>
        <w:t>，有助于学生分享不同的设计方</w:t>
      </w:r>
      <w:r>
        <w:rPr>
          <w:color w:val="231F20"/>
        </w:rPr>
        <w:t>案， 为培养学生的逻辑思维和团队合作能力提供条件。</w:t>
      </w:r>
    </w:p>
    <w:p>
      <w:pPr>
        <w:pStyle w:val="BodyText"/>
        <w:spacing w:before="5"/>
        <w:rPr>
          <w:sz w:val="25"/>
        </w:rPr>
      </w:pPr>
    </w:p>
    <w:p>
      <w:pPr>
        <w:tabs>
          <w:tab w:val="left" w:pos="761"/>
        </w:tabs>
        <w:spacing w:before="0"/>
        <w:ind w:left="0" w:right="188" w:firstLine="0"/>
        <w:jc w:val="center"/>
        <w:rPr>
          <w:sz w:val="21"/>
        </w:rPr>
      </w:pPr>
      <w:r>
        <w:rPr>
          <w:color w:val="231F20"/>
          <w:sz w:val="21"/>
        </w:rPr>
        <w:t>案</w:t>
      </w:r>
      <w:r>
        <w:rPr>
          <w:color w:val="231F20"/>
          <w:spacing w:val="26"/>
          <w:sz w:val="21"/>
        </w:rPr>
        <w:t>例</w:t>
      </w:r>
      <w:r>
        <w:rPr>
          <w:rFonts w:ascii="Times New Roman" w:eastAsia="Times New Roman"/>
          <w:b/>
          <w:color w:val="231F20"/>
          <w:sz w:val="21"/>
        </w:rPr>
        <w:t>8</w:t>
        <w:tab/>
      </w:r>
      <w:r>
        <w:rPr>
          <w:color w:val="231F20"/>
          <w:sz w:val="21"/>
        </w:rPr>
        <w:t>基于在线学习平台的教学</w:t>
      </w:r>
    </w:p>
    <w:p>
      <w:pPr>
        <w:pStyle w:val="BodyText"/>
        <w:spacing w:before="1"/>
        <w:rPr>
          <w:sz w:val="18"/>
        </w:rPr>
      </w:pPr>
    </w:p>
    <w:p>
      <w:pPr>
        <w:pStyle w:val="BodyText"/>
        <w:spacing w:line="328" w:lineRule="auto"/>
        <w:ind w:left="220" w:right="283" w:firstLine="480"/>
      </w:pPr>
      <w:r>
        <w:rPr>
          <w:color w:val="231F20"/>
        </w:rPr>
        <w:t>本案例中的教学内容是必修模块“细胞是生物体结构与生命活动的基本单位”概念中细胞内各部分结构与功能。利用</w:t>
      </w:r>
      <w:r>
        <w:rPr>
          <w:rFonts w:ascii="Times New Roman" w:eastAsia="Times New Roman" w:hAnsi="Times New Roman"/>
          <w:color w:val="231F20"/>
        </w:rPr>
        <w:t>Moodle</w:t>
      </w:r>
      <w:r>
        <w:rPr>
          <w:color w:val="231F20"/>
        </w:rPr>
        <w:t>（魔灯） 平台，通过学生的在线学习与课堂教学的结合，使学生能构建并使用</w:t>
      </w:r>
    </w:p>
    <w:p>
      <w:pPr>
        <w:spacing w:after="0" w:line="328" w:lineRule="auto"/>
        <w:sectPr>
          <w:type w:val="continuous"/>
          <w:pgSz w:w="10780" w:h="15090"/>
          <w:pgMar w:top="1420" w:right="1460" w:bottom="280" w:left="1480" w:header="708" w:footer="708"/>
          <w:cols w:space="708"/>
        </w:sectPr>
      </w:pPr>
    </w:p>
    <w:p>
      <w:pPr>
        <w:pStyle w:val="BodyText"/>
        <w:spacing w:before="7"/>
        <w:rPr>
          <w:sz w:val="29"/>
        </w:rPr>
      </w:pPr>
    </w:p>
    <w:p>
      <w:pPr>
        <w:pStyle w:val="BodyText"/>
        <w:spacing w:before="72" w:line="328" w:lineRule="auto"/>
        <w:ind w:left="390" w:right="238"/>
        <w:jc w:val="both"/>
      </w:pPr>
      <w:r>
        <w:rPr>
          <w:color w:val="231F20"/>
        </w:rPr>
        <w:t>细胞模型，阐明主要细胞器的结构特点及功能，各结构间分工与合作，相互协调的关系；学生能够运用网络资源，探究细胞模型中“未知”的细胞器，并关注细胞相关研究的进展及应用。</w:t>
      </w:r>
    </w:p>
    <w:p>
      <w:pPr>
        <w:spacing w:before="15"/>
        <w:ind w:left="870" w:right="0" w:firstLine="0"/>
        <w:jc w:val="left"/>
        <w:rPr>
          <w:sz w:val="21"/>
        </w:rPr>
      </w:pPr>
      <w:r>
        <w:rPr>
          <w:color w:val="231F20"/>
          <w:sz w:val="21"/>
        </w:rPr>
        <w:t>教学准备</w:t>
      </w:r>
    </w:p>
    <w:p>
      <w:pPr>
        <w:pStyle w:val="ListParagraph"/>
        <w:numPr>
          <w:ilvl w:val="1"/>
          <w:numId w:val="1"/>
        </w:numPr>
        <w:tabs>
          <w:tab w:val="left" w:pos="1189"/>
        </w:tabs>
        <w:spacing w:before="132" w:after="0" w:line="328" w:lineRule="auto"/>
        <w:ind w:left="390" w:right="221" w:firstLine="480"/>
        <w:jc w:val="both"/>
        <w:rPr>
          <w:sz w:val="24"/>
        </w:rPr>
      </w:pPr>
      <w:r>
        <w:rPr>
          <w:color w:val="231F20"/>
          <w:spacing w:val="26"/>
          <w:sz w:val="24"/>
        </w:rPr>
        <w:t>登录</w:t>
      </w:r>
      <w:r>
        <w:rPr>
          <w:rFonts w:ascii="Times New Roman" w:eastAsia="Times New Roman" w:hAnsi="Times New Roman"/>
          <w:color w:val="231F20"/>
          <w:sz w:val="24"/>
        </w:rPr>
        <w:t>Moodle</w:t>
      </w:r>
      <w:r>
        <w:rPr>
          <w:rFonts w:ascii="Times New Roman" w:eastAsia="Times New Roman" w:hAnsi="Times New Roman"/>
          <w:color w:val="231F20"/>
          <w:spacing w:val="-24"/>
          <w:sz w:val="24"/>
        </w:rPr>
        <w:t xml:space="preserve"> </w:t>
      </w:r>
      <w:r>
        <w:rPr>
          <w:color w:val="231F20"/>
          <w:spacing w:val="10"/>
          <w:sz w:val="24"/>
        </w:rPr>
        <w:t>平台，建立“细胞结构与功能”课程，内容包</w:t>
      </w:r>
      <w:r>
        <w:rPr>
          <w:color w:val="231F20"/>
          <w:spacing w:val="8"/>
          <w:sz w:val="24"/>
        </w:rPr>
        <w:t>括：有声教学</w:t>
      </w:r>
      <w:r>
        <w:rPr>
          <w:rFonts w:ascii="Times New Roman" w:eastAsia="Times New Roman" w:hAnsi="Times New Roman"/>
          <w:color w:val="231F20"/>
          <w:w w:val="99"/>
          <w:sz w:val="24"/>
        </w:rPr>
        <w:t>PP</w:t>
      </w:r>
      <w:r>
        <w:rPr>
          <w:rFonts w:ascii="Times New Roman" w:eastAsia="Times New Roman" w:hAnsi="Times New Roman"/>
          <w:color w:val="231F20"/>
          <w:spacing w:val="-60"/>
          <w:w w:val="100"/>
          <w:sz w:val="24"/>
        </w:rPr>
        <w:t>T</w:t>
      </w:r>
      <w:r>
        <w:rPr>
          <w:color w:val="231F20"/>
          <w:spacing w:val="7"/>
          <w:sz w:val="24"/>
        </w:rPr>
        <w:t>（演示文稿</w:t>
      </w:r>
      <w:r>
        <w:rPr>
          <w:color w:val="231F20"/>
          <w:spacing w:val="-90"/>
          <w:sz w:val="24"/>
        </w:rPr>
        <w:t>）</w:t>
      </w:r>
      <w:r>
        <w:rPr>
          <w:color w:val="231F20"/>
          <w:spacing w:val="9"/>
          <w:sz w:val="24"/>
        </w:rPr>
        <w:t>；辅助教学视频如细胞</w:t>
      </w:r>
      <w:r>
        <w:rPr>
          <w:rFonts w:ascii="Times New Roman" w:eastAsia="Times New Roman" w:hAnsi="Times New Roman"/>
          <w:color w:val="231F20"/>
          <w:sz w:val="24"/>
        </w:rPr>
        <w:t>3</w:t>
      </w:r>
      <w:r>
        <w:rPr>
          <w:rFonts w:ascii="Times New Roman" w:eastAsia="Times New Roman" w:hAnsi="Times New Roman"/>
          <w:color w:val="231F20"/>
          <w:spacing w:val="-60"/>
          <w:w w:val="99"/>
          <w:sz w:val="24"/>
        </w:rPr>
        <w:t>D</w:t>
      </w:r>
      <w:r>
        <w:rPr>
          <w:color w:val="231F20"/>
          <w:spacing w:val="7"/>
          <w:sz w:val="24"/>
        </w:rPr>
        <w:t>（三维）漫</w:t>
      </w:r>
      <w:r>
        <w:rPr>
          <w:color w:val="231F20"/>
          <w:sz w:val="24"/>
        </w:rPr>
        <w:t>游、黑藻的胞质环流等；拓展内容及相关网址等；辅助学习资料如学案、习题等。</w:t>
      </w:r>
    </w:p>
    <w:p>
      <w:pPr>
        <w:pStyle w:val="ListParagraph"/>
        <w:numPr>
          <w:ilvl w:val="1"/>
          <w:numId w:val="1"/>
        </w:numPr>
        <w:tabs>
          <w:tab w:val="left" w:pos="1176"/>
        </w:tabs>
        <w:spacing w:before="0" w:after="0" w:line="328" w:lineRule="auto"/>
        <w:ind w:left="391" w:right="233" w:firstLine="479"/>
        <w:jc w:val="both"/>
        <w:rPr>
          <w:sz w:val="24"/>
        </w:rPr>
      </w:pPr>
      <w:r>
        <w:rPr>
          <w:color w:val="231F20"/>
          <w:spacing w:val="17"/>
          <w:sz w:val="24"/>
        </w:rPr>
        <w:t>借助</w:t>
      </w:r>
      <w:r>
        <w:rPr>
          <w:rFonts w:ascii="Times New Roman" w:eastAsia="Times New Roman"/>
          <w:color w:val="231F20"/>
          <w:sz w:val="24"/>
        </w:rPr>
        <w:t>Moodle</w:t>
      </w:r>
      <w:r>
        <w:rPr>
          <w:rFonts w:ascii="Times New Roman" w:eastAsia="Times New Roman"/>
          <w:color w:val="231F20"/>
          <w:spacing w:val="-29"/>
          <w:sz w:val="24"/>
        </w:rPr>
        <w:t xml:space="preserve"> </w:t>
      </w:r>
      <w:r>
        <w:rPr>
          <w:color w:val="231F20"/>
          <w:spacing w:val="3"/>
          <w:sz w:val="24"/>
        </w:rPr>
        <w:t>平台的电子习题系统设置在线评价测验，并提前</w:t>
      </w:r>
      <w:r>
        <w:rPr>
          <w:color w:val="231F20"/>
          <w:sz w:val="24"/>
        </w:rPr>
        <w:t>一周向学生说明和布置在线学习任务。</w:t>
      </w:r>
    </w:p>
    <w:p>
      <w:pPr>
        <w:pStyle w:val="ListParagraph"/>
        <w:numPr>
          <w:ilvl w:val="1"/>
          <w:numId w:val="1"/>
        </w:numPr>
        <w:tabs>
          <w:tab w:val="left" w:pos="1185"/>
        </w:tabs>
        <w:spacing w:before="0" w:after="0" w:line="328" w:lineRule="auto"/>
        <w:ind w:left="391" w:right="120" w:firstLine="480"/>
        <w:jc w:val="left"/>
        <w:rPr>
          <w:sz w:val="24"/>
        </w:rPr>
      </w:pPr>
      <w:r>
        <w:rPr>
          <w:color w:val="231F20"/>
          <w:spacing w:val="10"/>
          <w:sz w:val="24"/>
        </w:rPr>
        <w:t>准备动物和植物细胞模型</w:t>
      </w:r>
      <w:r>
        <w:rPr>
          <w:color w:val="231F20"/>
          <w:spacing w:val="12"/>
          <w:sz w:val="24"/>
        </w:rPr>
        <w:t>（</w:t>
      </w:r>
      <w:r>
        <w:rPr>
          <w:color w:val="231F20"/>
          <w:spacing w:val="8"/>
          <w:sz w:val="24"/>
        </w:rPr>
        <w:t>可拆分为细胞质基质、细胞器、细胞壁、细胞核等</w:t>
      </w:r>
      <w:r>
        <w:rPr>
          <w:color w:val="231F20"/>
          <w:spacing w:val="12"/>
          <w:sz w:val="24"/>
        </w:rPr>
        <w:t>）</w:t>
      </w:r>
      <w:r>
        <w:rPr>
          <w:color w:val="231F20"/>
          <w:spacing w:val="11"/>
          <w:sz w:val="24"/>
        </w:rPr>
        <w:t>及配套课堂实验指导，每组学生</w:t>
      </w:r>
      <w:r>
        <w:rPr>
          <w:rFonts w:ascii="Times New Roman" w:eastAsia="Times New Roman"/>
          <w:color w:val="231F20"/>
          <w:sz w:val="24"/>
        </w:rPr>
        <w:t>1</w:t>
      </w:r>
      <w:r>
        <w:rPr>
          <w:rFonts w:ascii="Times New Roman" w:eastAsia="Times New Roman"/>
          <w:color w:val="231F20"/>
          <w:spacing w:val="-26"/>
          <w:sz w:val="24"/>
        </w:rPr>
        <w:t xml:space="preserve"> </w:t>
      </w:r>
      <w:r>
        <w:rPr>
          <w:color w:val="231F20"/>
          <w:spacing w:val="9"/>
          <w:sz w:val="24"/>
        </w:rPr>
        <w:t>套，每小组</w:t>
      </w:r>
      <w:r>
        <w:rPr>
          <w:rFonts w:ascii="Times New Roman" w:eastAsia="Times New Roman"/>
          <w:color w:val="231F20"/>
          <w:sz w:val="24"/>
        </w:rPr>
        <w:t>4</w:t>
      </w:r>
      <w:r>
        <w:rPr>
          <w:color w:val="231F20"/>
          <w:sz w:val="24"/>
        </w:rPr>
        <w:t>~</w:t>
      </w:r>
      <w:r>
        <w:rPr>
          <w:rFonts w:ascii="Times New Roman" w:eastAsia="Times New Roman"/>
          <w:color w:val="231F20"/>
          <w:sz w:val="24"/>
        </w:rPr>
        <w:t>6</w:t>
      </w:r>
      <w:r>
        <w:rPr>
          <w:rFonts w:ascii="Times New Roman" w:eastAsia="Times New Roman"/>
          <w:color w:val="231F20"/>
          <w:spacing w:val="-30"/>
          <w:sz w:val="24"/>
        </w:rPr>
        <w:t xml:space="preserve"> </w:t>
      </w:r>
      <w:r>
        <w:rPr>
          <w:color w:val="231F20"/>
          <w:sz w:val="24"/>
        </w:rPr>
        <w:t>人。</w:t>
      </w:r>
    </w:p>
    <w:p>
      <w:pPr>
        <w:pStyle w:val="ListParagraph"/>
        <w:numPr>
          <w:ilvl w:val="1"/>
          <w:numId w:val="1"/>
        </w:numPr>
        <w:tabs>
          <w:tab w:val="left" w:pos="1171"/>
        </w:tabs>
        <w:spacing w:before="0" w:after="0" w:line="304" w:lineRule="exact"/>
        <w:ind w:left="1170" w:right="0" w:hanging="301"/>
        <w:jc w:val="left"/>
        <w:rPr>
          <w:sz w:val="24"/>
        </w:rPr>
      </w:pPr>
      <w:r>
        <w:rPr>
          <w:color w:val="231F20"/>
          <w:sz w:val="24"/>
        </w:rPr>
        <w:t>就知识重难点设计问题串，以发现学生在线学习的问题。</w:t>
      </w:r>
    </w:p>
    <w:p>
      <w:pPr>
        <w:spacing w:before="124"/>
        <w:ind w:left="870" w:right="0" w:firstLine="0"/>
        <w:jc w:val="left"/>
        <w:rPr>
          <w:sz w:val="21"/>
        </w:rPr>
      </w:pPr>
      <w:r>
        <w:rPr>
          <w:color w:val="231F20"/>
          <w:sz w:val="21"/>
        </w:rPr>
        <w:t>在线学习</w:t>
      </w:r>
    </w:p>
    <w:p>
      <w:pPr>
        <w:pStyle w:val="ListParagraph"/>
        <w:numPr>
          <w:ilvl w:val="0"/>
          <w:numId w:val="2"/>
        </w:numPr>
        <w:tabs>
          <w:tab w:val="left" w:pos="1180"/>
        </w:tabs>
        <w:spacing w:before="132" w:after="0" w:line="328" w:lineRule="auto"/>
        <w:ind w:left="390" w:right="231" w:firstLine="480"/>
        <w:jc w:val="left"/>
        <w:rPr>
          <w:sz w:val="24"/>
        </w:rPr>
      </w:pPr>
      <w:r>
        <w:rPr>
          <w:color w:val="231F20"/>
          <w:spacing w:val="2"/>
          <w:sz w:val="24"/>
        </w:rPr>
        <w:t>在网络环境中，学生利用电脑、平板电脑、手机等终端，登</w:t>
      </w:r>
      <w:r>
        <w:rPr>
          <w:color w:val="231F20"/>
          <w:spacing w:val="30"/>
          <w:sz w:val="24"/>
        </w:rPr>
        <w:t>录</w:t>
      </w:r>
      <w:r>
        <w:rPr>
          <w:rFonts w:ascii="Times New Roman" w:eastAsia="Times New Roman" w:hAnsi="Times New Roman"/>
          <w:color w:val="231F20"/>
          <w:sz w:val="24"/>
        </w:rPr>
        <w:t>Moodle</w:t>
      </w:r>
      <w:r>
        <w:rPr>
          <w:rFonts w:ascii="Times New Roman" w:eastAsia="Times New Roman" w:hAnsi="Times New Roman"/>
          <w:color w:val="231F20"/>
          <w:spacing w:val="-30"/>
          <w:sz w:val="24"/>
        </w:rPr>
        <w:t xml:space="preserve"> </w:t>
      </w:r>
      <w:r>
        <w:rPr>
          <w:color w:val="231F20"/>
          <w:sz w:val="24"/>
        </w:rPr>
        <w:t>平台进入“细胞结构与功能”课程。</w:t>
      </w:r>
    </w:p>
    <w:p>
      <w:pPr>
        <w:pStyle w:val="ListParagraph"/>
        <w:numPr>
          <w:ilvl w:val="0"/>
          <w:numId w:val="2"/>
        </w:numPr>
        <w:tabs>
          <w:tab w:val="left" w:pos="1186"/>
        </w:tabs>
        <w:spacing w:before="0" w:after="16" w:line="328" w:lineRule="auto"/>
        <w:ind w:left="390" w:right="118" w:firstLine="480"/>
        <w:jc w:val="left"/>
        <w:rPr>
          <w:sz w:val="24"/>
        </w:rPr>
      </w:pPr>
      <w:r>
        <w:rPr>
          <w:color w:val="231F20"/>
          <w:spacing w:val="14"/>
          <w:sz w:val="24"/>
        </w:rPr>
        <w:t>学生在线或下载相关课程资料学习，按要求听完有声</w:t>
      </w:r>
      <w:r>
        <w:rPr>
          <w:rFonts w:ascii="Times New Roman" w:eastAsia="Times New Roman"/>
          <w:color w:val="231F20"/>
          <w:spacing w:val="-4"/>
          <w:sz w:val="24"/>
        </w:rPr>
        <w:t>PPT</w:t>
      </w:r>
      <w:r>
        <w:rPr>
          <w:color w:val="231F20"/>
          <w:spacing w:val="-4"/>
          <w:sz w:val="24"/>
        </w:rPr>
        <w:t xml:space="preserve">， </w:t>
      </w:r>
      <w:r>
        <w:rPr>
          <w:color w:val="231F20"/>
          <w:spacing w:val="2"/>
          <w:sz w:val="24"/>
        </w:rPr>
        <w:t>填写相应的学案</w:t>
      </w:r>
      <w:r>
        <w:rPr>
          <w:color w:val="231F20"/>
          <w:spacing w:val="3"/>
          <w:sz w:val="24"/>
        </w:rPr>
        <w:t>（</w:t>
      </w:r>
      <w:r>
        <w:rPr>
          <w:color w:val="231F20"/>
          <w:spacing w:val="2"/>
          <w:sz w:val="24"/>
        </w:rPr>
        <w:t>如下例，表中划线部分由学生填写</w:t>
      </w:r>
      <w:r>
        <w:rPr>
          <w:color w:val="231F20"/>
          <w:spacing w:val="-90"/>
          <w:sz w:val="24"/>
        </w:rPr>
        <w:t>）</w:t>
      </w:r>
      <w:r>
        <w:rPr>
          <w:color w:val="231F20"/>
          <w:spacing w:val="3"/>
          <w:sz w:val="24"/>
        </w:rPr>
        <w:t>。学案以列表</w:t>
      </w:r>
      <w:r>
        <w:rPr>
          <w:color w:val="231F20"/>
          <w:sz w:val="24"/>
        </w:rPr>
        <w:t>方式整理线粒体、叶绿体、内质网、高尔基体、核糖体等细胞器的形态、结构和功能。</w:t>
      </w:r>
    </w:p>
    <w:tbl>
      <w:tblPr>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913"/>
        <w:gridCol w:w="1973"/>
        <w:gridCol w:w="721"/>
        <w:gridCol w:w="1649"/>
        <w:gridCol w:w="1034"/>
        <w:gridCol w:w="897"/>
      </w:tblGrid>
      <w:tr>
        <w:tblPrEx>
          <w:tblW w:w="0" w:type="auto"/>
          <w:jc w:val="left"/>
          <w:tblInd w:w="40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731"/>
          <w:jc w:val="left"/>
        </w:trPr>
        <w:tc>
          <w:tcPr>
            <w:tcW w:w="913" w:type="dxa"/>
          </w:tcPr>
          <w:p>
            <w:pPr>
              <w:pStyle w:val="TableParagraph"/>
              <w:spacing w:before="5"/>
              <w:rPr>
                <w:sz w:val="18"/>
              </w:rPr>
            </w:pPr>
          </w:p>
          <w:p>
            <w:pPr>
              <w:pStyle w:val="TableParagraph"/>
              <w:ind w:left="134" w:right="123"/>
              <w:jc w:val="center"/>
              <w:rPr>
                <w:sz w:val="20"/>
              </w:rPr>
            </w:pPr>
            <w:r>
              <w:rPr>
                <w:color w:val="231F20"/>
                <w:sz w:val="20"/>
              </w:rPr>
              <w:t>细胞器</w:t>
            </w:r>
          </w:p>
        </w:tc>
        <w:tc>
          <w:tcPr>
            <w:tcW w:w="1973" w:type="dxa"/>
          </w:tcPr>
          <w:p>
            <w:pPr>
              <w:pStyle w:val="TableParagraph"/>
              <w:spacing w:before="5"/>
              <w:rPr>
                <w:sz w:val="18"/>
              </w:rPr>
            </w:pPr>
          </w:p>
          <w:p>
            <w:pPr>
              <w:pStyle w:val="TableParagraph"/>
              <w:ind w:left="584"/>
              <w:rPr>
                <w:sz w:val="20"/>
              </w:rPr>
            </w:pPr>
            <w:r>
              <w:rPr>
                <w:color w:val="231F20"/>
                <w:sz w:val="20"/>
              </w:rPr>
              <w:t>形态识别</w:t>
            </w:r>
          </w:p>
        </w:tc>
        <w:tc>
          <w:tcPr>
            <w:tcW w:w="721" w:type="dxa"/>
          </w:tcPr>
          <w:p>
            <w:pPr>
              <w:pStyle w:val="TableParagraph"/>
              <w:spacing w:before="12" w:line="320" w:lineRule="atLeast"/>
              <w:ind w:left="158" w:right="145"/>
              <w:rPr>
                <w:sz w:val="20"/>
              </w:rPr>
            </w:pPr>
            <w:r>
              <w:rPr>
                <w:color w:val="231F20"/>
                <w:sz w:val="20"/>
              </w:rPr>
              <w:t>自己画图</w:t>
            </w:r>
          </w:p>
        </w:tc>
        <w:tc>
          <w:tcPr>
            <w:tcW w:w="1649" w:type="dxa"/>
          </w:tcPr>
          <w:p>
            <w:pPr>
              <w:pStyle w:val="TableParagraph"/>
              <w:spacing w:before="5"/>
              <w:rPr>
                <w:sz w:val="18"/>
              </w:rPr>
            </w:pPr>
          </w:p>
          <w:p>
            <w:pPr>
              <w:pStyle w:val="TableParagraph"/>
              <w:ind w:left="421"/>
              <w:rPr>
                <w:sz w:val="20"/>
              </w:rPr>
            </w:pPr>
            <w:r>
              <w:rPr>
                <w:color w:val="231F20"/>
                <w:sz w:val="20"/>
              </w:rPr>
              <w:t>结构特点</w:t>
            </w:r>
          </w:p>
        </w:tc>
        <w:tc>
          <w:tcPr>
            <w:tcW w:w="1034" w:type="dxa"/>
          </w:tcPr>
          <w:p>
            <w:pPr>
              <w:pStyle w:val="TableParagraph"/>
              <w:spacing w:before="5"/>
              <w:rPr>
                <w:sz w:val="18"/>
              </w:rPr>
            </w:pPr>
          </w:p>
          <w:p>
            <w:pPr>
              <w:pStyle w:val="TableParagraph"/>
              <w:ind w:left="313"/>
              <w:rPr>
                <w:sz w:val="20"/>
              </w:rPr>
            </w:pPr>
            <w:r>
              <w:rPr>
                <w:color w:val="231F20"/>
                <w:sz w:val="20"/>
              </w:rPr>
              <w:t>功能</w:t>
            </w:r>
          </w:p>
        </w:tc>
        <w:tc>
          <w:tcPr>
            <w:tcW w:w="897" w:type="dxa"/>
          </w:tcPr>
          <w:p>
            <w:pPr>
              <w:pStyle w:val="TableParagraph"/>
              <w:spacing w:before="5"/>
              <w:rPr>
                <w:sz w:val="18"/>
              </w:rPr>
            </w:pPr>
          </w:p>
          <w:p>
            <w:pPr>
              <w:pStyle w:val="TableParagraph"/>
              <w:ind w:left="123" w:right="118"/>
              <w:jc w:val="center"/>
              <w:rPr>
                <w:sz w:val="20"/>
              </w:rPr>
            </w:pPr>
            <w:r>
              <w:rPr>
                <w:color w:val="231F20"/>
                <w:sz w:val="20"/>
              </w:rPr>
              <w:t>动植物</w:t>
            </w:r>
          </w:p>
        </w:tc>
      </w:tr>
      <w:tr>
        <w:tblPrEx>
          <w:tblW w:w="0" w:type="auto"/>
          <w:jc w:val="left"/>
          <w:tblInd w:w="405" w:type="dxa"/>
          <w:tblLayout w:type="fixed"/>
          <w:tblCellMar>
            <w:top w:w="0" w:type="dxa"/>
            <w:left w:w="0" w:type="dxa"/>
            <w:bottom w:w="0" w:type="dxa"/>
            <w:right w:w="0" w:type="dxa"/>
          </w:tblCellMar>
          <w:tblLook w:val="01E0"/>
        </w:tblPrEx>
        <w:trPr>
          <w:trHeight w:val="1659"/>
          <w:jc w:val="left"/>
        </w:trPr>
        <w:tc>
          <w:tcPr>
            <w:tcW w:w="913" w:type="dxa"/>
          </w:tcPr>
          <w:p>
            <w:pPr>
              <w:pStyle w:val="TableParagraph"/>
              <w:rPr>
                <w:sz w:val="22"/>
              </w:rPr>
            </w:pPr>
          </w:p>
          <w:p>
            <w:pPr>
              <w:pStyle w:val="TableParagraph"/>
              <w:spacing w:before="8"/>
              <w:rPr>
                <w:sz w:val="32"/>
              </w:rPr>
            </w:pPr>
          </w:p>
          <w:p>
            <w:pPr>
              <w:pStyle w:val="TableParagraph"/>
              <w:ind w:left="134" w:right="123"/>
              <w:jc w:val="center"/>
              <w:rPr>
                <w:sz w:val="20"/>
              </w:rPr>
            </w:pPr>
            <w:r>
              <w:rPr>
                <w:color w:val="231F20"/>
                <w:sz w:val="20"/>
                <w:u w:val="single" w:color="231F20"/>
              </w:rPr>
              <w:t>线粒体</w:t>
            </w:r>
          </w:p>
        </w:tc>
        <w:tc>
          <w:tcPr>
            <w:tcW w:w="1973" w:type="dxa"/>
          </w:tcPr>
          <w:p>
            <w:pPr>
              <w:pStyle w:val="TableParagraph"/>
              <w:spacing w:before="10"/>
              <w:rPr>
                <w:sz w:val="23"/>
              </w:rPr>
            </w:pPr>
          </w:p>
          <w:p>
            <w:pPr>
              <w:pStyle w:val="TableParagraph"/>
              <w:ind w:left="96"/>
              <w:rPr>
                <w:sz w:val="20"/>
              </w:rPr>
            </w:pPr>
            <w:r>
              <w:rPr>
                <w:sz w:val="20"/>
              </w:rPr>
              <w:drawing>
                <wp:inline distT="0" distB="0" distL="0" distR="0">
                  <wp:extent cx="1122589" cy="754380"/>
                  <wp:effectExtent l="0" t="0" r="0" b="0"/>
                  <wp:docPr id="2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png"/>
                          <pic:cNvPicPr/>
                        </pic:nvPicPr>
                        <pic:blipFill>
                          <a:blip xmlns:r="http://schemas.openxmlformats.org/officeDocument/2006/relationships" r:embed="rId77" cstate="print"/>
                          <a:stretch>
                            <a:fillRect/>
                          </a:stretch>
                        </pic:blipFill>
                        <pic:spPr>
                          <a:xfrm>
                            <a:off x="0" y="0"/>
                            <a:ext cx="1122589" cy="754380"/>
                          </a:xfrm>
                          <a:prstGeom prst="rect">
                            <a:avLst/>
                          </a:prstGeom>
                        </pic:spPr>
                      </pic:pic>
                    </a:graphicData>
                  </a:graphic>
                </wp:inline>
              </w:drawing>
            </w:r>
          </w:p>
        </w:tc>
        <w:tc>
          <w:tcPr>
            <w:tcW w:w="721" w:type="dxa"/>
          </w:tcPr>
          <w:p>
            <w:pPr>
              <w:pStyle w:val="TableParagraph"/>
              <w:rPr>
                <w:rFonts w:ascii="Times New Roman"/>
                <w:sz w:val="22"/>
              </w:rPr>
            </w:pPr>
          </w:p>
        </w:tc>
        <w:tc>
          <w:tcPr>
            <w:tcW w:w="1649" w:type="dxa"/>
          </w:tcPr>
          <w:p>
            <w:pPr>
              <w:pStyle w:val="TableParagraph"/>
              <w:rPr>
                <w:sz w:val="22"/>
              </w:rPr>
            </w:pPr>
          </w:p>
          <w:p>
            <w:pPr>
              <w:pStyle w:val="TableParagraph"/>
              <w:spacing w:before="2"/>
              <w:rPr>
                <w:sz w:val="20"/>
              </w:rPr>
            </w:pPr>
          </w:p>
          <w:p>
            <w:pPr>
              <w:pStyle w:val="TableParagraph"/>
              <w:spacing w:line="300" w:lineRule="auto"/>
              <w:ind w:left="521" w:right="7" w:hanging="403"/>
              <w:rPr>
                <w:sz w:val="20"/>
              </w:rPr>
            </w:pPr>
            <w:r>
              <w:rPr>
                <w:color w:val="231F20"/>
                <w:spacing w:val="12"/>
                <w:sz w:val="20"/>
                <w:u w:val="single" w:color="231F20"/>
              </w:rPr>
              <w:t>外膜</w:t>
            </w:r>
            <w:r>
              <w:rPr>
                <w:rFonts w:ascii="Times New Roman" w:eastAsia="Times New Roman"/>
                <w:color w:val="231F20"/>
                <w:sz w:val="20"/>
                <w:u w:val="single" w:color="231F20"/>
              </w:rPr>
              <w:t>/</w:t>
            </w:r>
            <w:r>
              <w:rPr>
                <w:rFonts w:ascii="Times New Roman" w:eastAsia="Times New Roman"/>
                <w:color w:val="231F20"/>
                <w:spacing w:val="-25"/>
                <w:sz w:val="20"/>
                <w:u w:val="single" w:color="231F20"/>
              </w:rPr>
              <w:t xml:space="preserve"> </w:t>
            </w:r>
            <w:r>
              <w:rPr>
                <w:color w:val="231F20"/>
                <w:sz w:val="20"/>
                <w:u w:val="single" w:color="231F20"/>
              </w:rPr>
              <w:t>内膜（嵴</w:t>
            </w:r>
            <w:r>
              <w:rPr>
                <w:color w:val="231F20"/>
                <w:spacing w:val="-17"/>
                <w:sz w:val="20"/>
                <w:u w:val="single" w:color="231F20"/>
              </w:rPr>
              <w:t>）</w:t>
            </w:r>
            <w:r>
              <w:rPr>
                <w:color w:val="231F20"/>
                <w:spacing w:val="-180"/>
                <w:sz w:val="20"/>
                <w:u w:val="single" w:color="231F20"/>
              </w:rPr>
              <w:t>双</w:t>
            </w:r>
            <w:r>
              <w:rPr>
                <w:color w:val="231F20"/>
                <w:sz w:val="20"/>
                <w:u w:val="single" w:color="231F20"/>
              </w:rPr>
              <w:t>层膜</w:t>
            </w:r>
          </w:p>
        </w:tc>
        <w:tc>
          <w:tcPr>
            <w:tcW w:w="1034" w:type="dxa"/>
          </w:tcPr>
          <w:p>
            <w:pPr>
              <w:pStyle w:val="TableParagraph"/>
              <w:rPr>
                <w:sz w:val="22"/>
              </w:rPr>
            </w:pPr>
          </w:p>
          <w:p>
            <w:pPr>
              <w:pStyle w:val="TableParagraph"/>
              <w:spacing w:before="2"/>
              <w:rPr>
                <w:sz w:val="20"/>
              </w:rPr>
            </w:pPr>
          </w:p>
          <w:p>
            <w:pPr>
              <w:pStyle w:val="TableParagraph"/>
              <w:spacing w:line="300" w:lineRule="auto"/>
              <w:ind w:left="112" w:right="104"/>
              <w:rPr>
                <w:sz w:val="20"/>
              </w:rPr>
            </w:pPr>
            <w:r>
              <w:rPr>
                <w:color w:val="231F20"/>
                <w:spacing w:val="-5"/>
                <w:sz w:val="20"/>
                <w:u w:val="single" w:color="231F20"/>
              </w:rPr>
              <w:t>有氧呼吸</w:t>
            </w:r>
            <w:r>
              <w:rPr>
                <w:color w:val="231F20"/>
                <w:spacing w:val="-180"/>
                <w:sz w:val="20"/>
                <w:u w:val="single" w:color="231F20"/>
              </w:rPr>
              <w:t>提</w:t>
            </w:r>
            <w:r>
              <w:rPr>
                <w:color w:val="231F20"/>
                <w:sz w:val="20"/>
                <w:u w:val="single" w:color="231F20"/>
              </w:rPr>
              <w:t>供能量</w:t>
            </w:r>
          </w:p>
        </w:tc>
        <w:tc>
          <w:tcPr>
            <w:tcW w:w="897" w:type="dxa"/>
          </w:tcPr>
          <w:p>
            <w:pPr>
              <w:pStyle w:val="TableParagraph"/>
              <w:rPr>
                <w:sz w:val="22"/>
              </w:rPr>
            </w:pPr>
          </w:p>
          <w:p>
            <w:pPr>
              <w:pStyle w:val="TableParagraph"/>
              <w:spacing w:before="8"/>
              <w:rPr>
                <w:sz w:val="32"/>
              </w:rPr>
            </w:pPr>
          </w:p>
          <w:p>
            <w:pPr>
              <w:pStyle w:val="TableParagraph"/>
              <w:ind w:left="123" w:right="118"/>
              <w:jc w:val="center"/>
              <w:rPr>
                <w:sz w:val="20"/>
              </w:rPr>
            </w:pPr>
            <w:r>
              <w:rPr>
                <w:color w:val="231F20"/>
                <w:sz w:val="20"/>
                <w:u w:val="single" w:color="231F20"/>
              </w:rPr>
              <w:t>都有</w:t>
            </w:r>
          </w:p>
        </w:tc>
      </w:tr>
    </w:tbl>
    <w:p>
      <w:pPr>
        <w:spacing w:after="0"/>
        <w:jc w:val="center"/>
        <w:rPr>
          <w:sz w:val="20"/>
        </w:rPr>
        <w:sectPr>
          <w:pgSz w:w="10780" w:h="15090"/>
          <w:pgMar w:top="1260" w:right="1460" w:bottom="1400" w:left="1480" w:header="989" w:footer="1217"/>
          <w:cols w:space="708"/>
        </w:sectPr>
      </w:pPr>
    </w:p>
    <w:p>
      <w:pPr>
        <w:pStyle w:val="BodyText"/>
        <w:rPr>
          <w:sz w:val="20"/>
        </w:rPr>
      </w:pPr>
    </w:p>
    <w:p>
      <w:pPr>
        <w:pStyle w:val="ListParagraph"/>
        <w:numPr>
          <w:ilvl w:val="0"/>
          <w:numId w:val="2"/>
        </w:numPr>
        <w:tabs>
          <w:tab w:val="left" w:pos="1004"/>
        </w:tabs>
        <w:spacing w:before="204" w:after="0" w:line="328" w:lineRule="auto"/>
        <w:ind w:left="220" w:right="291" w:firstLine="480"/>
        <w:jc w:val="left"/>
        <w:rPr>
          <w:sz w:val="24"/>
        </w:rPr>
      </w:pPr>
      <w:r>
        <w:rPr>
          <w:color w:val="231F20"/>
          <w:sz w:val="24"/>
        </w:rPr>
        <w:t>使用电脑、平板电脑、手机等终端完成在线作业和评价测验， 学生自主检测在线学习成果并获得反馈，纠正错误。</w:t>
      </w:r>
    </w:p>
    <w:p>
      <w:pPr>
        <w:spacing w:before="17"/>
        <w:ind w:left="700" w:right="0" w:firstLine="0"/>
        <w:jc w:val="left"/>
        <w:rPr>
          <w:sz w:val="21"/>
        </w:rPr>
      </w:pPr>
      <w:r>
        <w:rPr>
          <w:color w:val="231F20"/>
          <w:sz w:val="21"/>
        </w:rPr>
        <w:t>课堂教学</w:t>
      </w:r>
    </w:p>
    <w:p>
      <w:pPr>
        <w:pStyle w:val="BodyText"/>
        <w:spacing w:before="2"/>
        <w:rPr>
          <w:sz w:val="12"/>
        </w:rPr>
      </w:pPr>
    </w:p>
    <w:tbl>
      <w:tblPr>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
      <w:tblGrid>
        <w:gridCol w:w="2149"/>
        <w:gridCol w:w="2644"/>
        <w:gridCol w:w="2396"/>
      </w:tblGrid>
      <w:tr>
        <w:tblPrEx>
          <w:tblW w:w="0" w:type="auto"/>
          <w:jc w:val="left"/>
          <w:tblInd w:w="235" w:type="dxa"/>
          <w:tblBorders>
            <w:top w:val="single" w:sz="6" w:space="0" w:color="58595B"/>
            <w:left w:val="single" w:sz="6" w:space="0" w:color="58595B"/>
            <w:bottom w:val="single" w:sz="6" w:space="0" w:color="58595B"/>
            <w:right w:val="single" w:sz="6" w:space="0" w:color="58595B"/>
            <w:insideH w:val="single" w:sz="6" w:space="0" w:color="58595B"/>
            <w:insideV w:val="single" w:sz="6" w:space="0" w:color="58595B"/>
          </w:tblBorders>
          <w:tblLayout w:type="fixed"/>
          <w:tblCellMar>
            <w:top w:w="0" w:type="dxa"/>
            <w:left w:w="0" w:type="dxa"/>
            <w:bottom w:w="0" w:type="dxa"/>
            <w:right w:w="0" w:type="dxa"/>
          </w:tblCellMar>
          <w:tblLook w:val="01E0"/>
        </w:tblPrEx>
        <w:trPr>
          <w:trHeight w:val="411"/>
          <w:jc w:val="left"/>
        </w:trPr>
        <w:tc>
          <w:tcPr>
            <w:tcW w:w="2149" w:type="dxa"/>
          </w:tcPr>
          <w:p>
            <w:pPr>
              <w:pStyle w:val="TableParagraph"/>
              <w:spacing w:before="76"/>
              <w:ind w:left="852" w:right="841"/>
              <w:jc w:val="center"/>
              <w:rPr>
                <w:sz w:val="20"/>
              </w:rPr>
            </w:pPr>
            <w:r>
              <w:rPr>
                <w:color w:val="231F20"/>
                <w:sz w:val="20"/>
              </w:rPr>
              <w:t>内容</w:t>
            </w:r>
          </w:p>
        </w:tc>
        <w:tc>
          <w:tcPr>
            <w:tcW w:w="2644" w:type="dxa"/>
          </w:tcPr>
          <w:p>
            <w:pPr>
              <w:pStyle w:val="TableParagraph"/>
              <w:spacing w:before="76"/>
              <w:ind w:left="899" w:right="889"/>
              <w:jc w:val="center"/>
              <w:rPr>
                <w:sz w:val="20"/>
              </w:rPr>
            </w:pPr>
            <w:r>
              <w:rPr>
                <w:color w:val="231F20"/>
                <w:sz w:val="20"/>
              </w:rPr>
              <w:t>教师活动</w:t>
            </w:r>
          </w:p>
        </w:tc>
        <w:tc>
          <w:tcPr>
            <w:tcW w:w="2396" w:type="dxa"/>
          </w:tcPr>
          <w:p>
            <w:pPr>
              <w:pStyle w:val="TableParagraph"/>
              <w:spacing w:before="76"/>
              <w:ind w:left="795"/>
              <w:rPr>
                <w:sz w:val="20"/>
              </w:rPr>
            </w:pPr>
            <w:r>
              <w:rPr>
                <w:color w:val="231F20"/>
                <w:sz w:val="20"/>
              </w:rPr>
              <w:t>学生活动</w:t>
            </w:r>
          </w:p>
        </w:tc>
      </w:tr>
      <w:tr>
        <w:tblPrEx>
          <w:tblW w:w="0" w:type="auto"/>
          <w:jc w:val="left"/>
          <w:tblInd w:w="235" w:type="dxa"/>
          <w:tblLayout w:type="fixed"/>
          <w:tblCellMar>
            <w:top w:w="0" w:type="dxa"/>
            <w:left w:w="0" w:type="dxa"/>
            <w:bottom w:w="0" w:type="dxa"/>
            <w:right w:w="0" w:type="dxa"/>
          </w:tblCellMar>
          <w:tblLook w:val="01E0"/>
        </w:tblPrEx>
        <w:trPr>
          <w:trHeight w:val="1371"/>
          <w:jc w:val="left"/>
        </w:trPr>
        <w:tc>
          <w:tcPr>
            <w:tcW w:w="2149" w:type="dxa"/>
          </w:tcPr>
          <w:p>
            <w:pPr>
              <w:pStyle w:val="TableParagraph"/>
              <w:spacing w:before="6"/>
              <w:rPr>
                <w:sz w:val="18"/>
              </w:rPr>
            </w:pPr>
          </w:p>
          <w:p>
            <w:pPr>
              <w:pStyle w:val="TableParagraph"/>
              <w:spacing w:line="300" w:lineRule="auto"/>
              <w:ind w:left="111" w:right="81"/>
              <w:jc w:val="both"/>
              <w:rPr>
                <w:sz w:val="20"/>
              </w:rPr>
            </w:pPr>
            <w:r>
              <w:rPr>
                <w:color w:val="231F20"/>
                <w:sz w:val="20"/>
              </w:rPr>
              <w:t>回忆主要细胞器的结构和功能，发现学生在线学习中的问题。</w:t>
            </w:r>
          </w:p>
        </w:tc>
        <w:tc>
          <w:tcPr>
            <w:tcW w:w="2644" w:type="dxa"/>
          </w:tcPr>
          <w:p>
            <w:pPr>
              <w:pStyle w:val="TableParagraph"/>
              <w:spacing w:before="13" w:line="320" w:lineRule="atLeast"/>
              <w:ind w:left="111" w:right="75"/>
              <w:jc w:val="both"/>
              <w:rPr>
                <w:sz w:val="20"/>
              </w:rPr>
            </w:pPr>
            <w:r>
              <w:rPr>
                <w:color w:val="231F20"/>
                <w:sz w:val="20"/>
              </w:rPr>
              <w:t>展示细胞器图片和所设计的问题，如双层膜细胞器有哪些、叶绿体究竟有几层膜等。</w:t>
            </w:r>
          </w:p>
        </w:tc>
        <w:tc>
          <w:tcPr>
            <w:tcW w:w="2396" w:type="dxa"/>
          </w:tcPr>
          <w:p>
            <w:pPr>
              <w:pStyle w:val="TableParagraph"/>
              <w:spacing w:before="76" w:line="300" w:lineRule="auto"/>
              <w:ind w:left="110" w:right="78"/>
              <w:jc w:val="both"/>
              <w:rPr>
                <w:sz w:val="20"/>
              </w:rPr>
            </w:pPr>
            <w:r>
              <w:rPr>
                <w:color w:val="231F20"/>
                <w:sz w:val="20"/>
              </w:rPr>
              <w:t>思考、回答问题，就重难点问题与老师一起讨论。</w:t>
            </w:r>
          </w:p>
        </w:tc>
      </w:tr>
      <w:tr>
        <w:tblPrEx>
          <w:tblW w:w="0" w:type="auto"/>
          <w:jc w:val="left"/>
          <w:tblInd w:w="235" w:type="dxa"/>
          <w:tblLayout w:type="fixed"/>
          <w:tblCellMar>
            <w:top w:w="0" w:type="dxa"/>
            <w:left w:w="0" w:type="dxa"/>
            <w:bottom w:w="0" w:type="dxa"/>
            <w:right w:w="0" w:type="dxa"/>
          </w:tblCellMar>
          <w:tblLook w:val="01E0"/>
        </w:tblPrEx>
        <w:trPr>
          <w:trHeight w:val="735"/>
          <w:jc w:val="left"/>
        </w:trPr>
        <w:tc>
          <w:tcPr>
            <w:tcW w:w="2149" w:type="dxa"/>
          </w:tcPr>
          <w:p>
            <w:pPr>
              <w:pStyle w:val="TableParagraph"/>
              <w:spacing w:before="15" w:line="320" w:lineRule="atLeast"/>
              <w:ind w:left="111" w:right="1"/>
              <w:rPr>
                <w:sz w:val="20"/>
              </w:rPr>
            </w:pPr>
            <w:r>
              <w:rPr>
                <w:color w:val="231F20"/>
                <w:sz w:val="20"/>
              </w:rPr>
              <w:t>布置课堂实验任务， 发放实验指导。</w:t>
            </w:r>
          </w:p>
        </w:tc>
        <w:tc>
          <w:tcPr>
            <w:tcW w:w="2644" w:type="dxa"/>
          </w:tcPr>
          <w:p>
            <w:pPr>
              <w:pStyle w:val="TableParagraph"/>
              <w:spacing w:before="15" w:line="320" w:lineRule="atLeast"/>
              <w:ind w:left="111" w:right="96"/>
              <w:rPr>
                <w:sz w:val="20"/>
              </w:rPr>
            </w:pPr>
            <w:r>
              <w:rPr>
                <w:color w:val="231F20"/>
                <w:sz w:val="20"/>
              </w:rPr>
              <w:t>向学生说明细胞亚显微结构模型的拼装目的、方法。</w:t>
            </w:r>
          </w:p>
        </w:tc>
        <w:tc>
          <w:tcPr>
            <w:tcW w:w="2396" w:type="dxa"/>
          </w:tcPr>
          <w:p>
            <w:pPr>
              <w:pStyle w:val="TableParagraph"/>
              <w:spacing w:before="78"/>
              <w:ind w:left="110"/>
              <w:rPr>
                <w:sz w:val="20"/>
              </w:rPr>
            </w:pPr>
            <w:r>
              <w:rPr>
                <w:color w:val="231F20"/>
                <w:sz w:val="20"/>
              </w:rPr>
              <w:t>听清要求。</w:t>
            </w:r>
          </w:p>
        </w:tc>
      </w:tr>
      <w:tr>
        <w:tblPrEx>
          <w:tblW w:w="0" w:type="auto"/>
          <w:jc w:val="left"/>
          <w:tblInd w:w="235" w:type="dxa"/>
          <w:tblLayout w:type="fixed"/>
          <w:tblCellMar>
            <w:top w:w="0" w:type="dxa"/>
            <w:left w:w="0" w:type="dxa"/>
            <w:bottom w:w="0" w:type="dxa"/>
            <w:right w:w="0" w:type="dxa"/>
          </w:tblCellMar>
          <w:tblLook w:val="01E0"/>
        </w:tblPrEx>
        <w:trPr>
          <w:trHeight w:val="1085"/>
          <w:jc w:val="left"/>
        </w:trPr>
        <w:tc>
          <w:tcPr>
            <w:tcW w:w="2149" w:type="dxa"/>
          </w:tcPr>
          <w:p>
            <w:pPr>
              <w:pStyle w:val="TableParagraph"/>
              <w:spacing w:before="93" w:line="300" w:lineRule="auto"/>
              <w:ind w:left="111" w:right="-15"/>
              <w:rPr>
                <w:sz w:val="20"/>
              </w:rPr>
            </w:pPr>
            <w:r>
              <w:rPr>
                <w:color w:val="231F20"/>
                <w:spacing w:val="15"/>
                <w:sz w:val="20"/>
              </w:rPr>
              <w:t>学生完成细胞模型的</w:t>
            </w:r>
            <w:r>
              <w:rPr>
                <w:color w:val="231F20"/>
                <w:sz w:val="20"/>
              </w:rPr>
              <w:t>拼装，并发现“未知” 的细胞结构。</w:t>
            </w:r>
          </w:p>
        </w:tc>
        <w:tc>
          <w:tcPr>
            <w:tcW w:w="2644" w:type="dxa"/>
          </w:tcPr>
          <w:p>
            <w:pPr>
              <w:pStyle w:val="TableParagraph"/>
              <w:spacing w:before="93" w:line="300" w:lineRule="auto"/>
              <w:ind w:left="111" w:right="1"/>
              <w:rPr>
                <w:sz w:val="20"/>
              </w:rPr>
            </w:pPr>
            <w:r>
              <w:rPr>
                <w:color w:val="231F20"/>
                <w:sz w:val="20"/>
              </w:rPr>
              <w:t>发放动植物细胞模型零件， 引导学生根据实验指导边拼装边观察细胞模型。</w:t>
            </w:r>
          </w:p>
        </w:tc>
        <w:tc>
          <w:tcPr>
            <w:tcW w:w="2396" w:type="dxa"/>
          </w:tcPr>
          <w:p>
            <w:pPr>
              <w:pStyle w:val="TableParagraph"/>
              <w:spacing w:before="93" w:line="300" w:lineRule="auto"/>
              <w:ind w:left="110" w:right="77"/>
              <w:jc w:val="both"/>
              <w:rPr>
                <w:sz w:val="20"/>
              </w:rPr>
            </w:pPr>
            <w:r>
              <w:rPr>
                <w:color w:val="231F20"/>
                <w:sz w:val="20"/>
              </w:rPr>
              <w:t>拼装模型，对照学案识别细胞器，发现不认识的细胞结构。</w:t>
            </w:r>
          </w:p>
        </w:tc>
      </w:tr>
      <w:tr>
        <w:tblPrEx>
          <w:tblW w:w="0" w:type="auto"/>
          <w:jc w:val="left"/>
          <w:tblInd w:w="235" w:type="dxa"/>
          <w:tblLayout w:type="fixed"/>
          <w:tblCellMar>
            <w:top w:w="0" w:type="dxa"/>
            <w:left w:w="0" w:type="dxa"/>
            <w:bottom w:w="0" w:type="dxa"/>
            <w:right w:w="0" w:type="dxa"/>
          </w:tblCellMar>
          <w:tblLook w:val="01E0"/>
        </w:tblPrEx>
        <w:trPr>
          <w:trHeight w:val="1051"/>
          <w:jc w:val="left"/>
        </w:trPr>
        <w:tc>
          <w:tcPr>
            <w:tcW w:w="2149" w:type="dxa"/>
          </w:tcPr>
          <w:p>
            <w:pPr>
              <w:pStyle w:val="TableParagraph"/>
              <w:spacing w:before="13" w:line="320" w:lineRule="atLeast"/>
              <w:ind w:left="111" w:right="20"/>
              <w:jc w:val="both"/>
              <w:rPr>
                <w:sz w:val="20"/>
              </w:rPr>
            </w:pPr>
            <w:r>
              <w:rPr>
                <w:color w:val="231F20"/>
                <w:sz w:val="20"/>
              </w:rPr>
              <w:t>引导学生对模型中的过氧化物酶体、细胞骨架等进行资料检索。</w:t>
            </w:r>
          </w:p>
        </w:tc>
        <w:tc>
          <w:tcPr>
            <w:tcW w:w="2644" w:type="dxa"/>
          </w:tcPr>
          <w:p>
            <w:pPr>
              <w:pStyle w:val="TableParagraph"/>
              <w:spacing w:before="13" w:line="320" w:lineRule="atLeast"/>
              <w:ind w:left="111" w:right="99"/>
              <w:jc w:val="both"/>
              <w:rPr>
                <w:sz w:val="20"/>
              </w:rPr>
            </w:pPr>
            <w:r>
              <w:rPr>
                <w:color w:val="231F20"/>
                <w:sz w:val="20"/>
              </w:rPr>
              <w:t>提示学生查找说明书或通过网络查询获取未知细胞器的资料。</w:t>
            </w:r>
          </w:p>
        </w:tc>
        <w:tc>
          <w:tcPr>
            <w:tcW w:w="2396" w:type="dxa"/>
          </w:tcPr>
          <w:p>
            <w:pPr>
              <w:pStyle w:val="TableParagraph"/>
              <w:spacing w:before="13" w:line="320" w:lineRule="atLeast"/>
              <w:ind w:left="110" w:right="77"/>
              <w:jc w:val="both"/>
              <w:rPr>
                <w:sz w:val="20"/>
              </w:rPr>
            </w:pPr>
            <w:r>
              <w:rPr>
                <w:color w:val="231F20"/>
                <w:sz w:val="20"/>
              </w:rPr>
              <w:t>通过网络，对不认识的细胞结构进行知识检索和信息整理。</w:t>
            </w:r>
          </w:p>
        </w:tc>
      </w:tr>
      <w:tr>
        <w:tblPrEx>
          <w:tblW w:w="0" w:type="auto"/>
          <w:jc w:val="left"/>
          <w:tblInd w:w="235" w:type="dxa"/>
          <w:tblLayout w:type="fixed"/>
          <w:tblCellMar>
            <w:top w:w="0" w:type="dxa"/>
            <w:left w:w="0" w:type="dxa"/>
            <w:bottom w:w="0" w:type="dxa"/>
            <w:right w:w="0" w:type="dxa"/>
          </w:tblCellMar>
          <w:tblLook w:val="01E0"/>
        </w:tblPrEx>
        <w:trPr>
          <w:trHeight w:val="1371"/>
          <w:jc w:val="left"/>
        </w:trPr>
        <w:tc>
          <w:tcPr>
            <w:tcW w:w="2149" w:type="dxa"/>
          </w:tcPr>
          <w:p>
            <w:pPr>
              <w:pStyle w:val="TableParagraph"/>
              <w:spacing w:before="76"/>
              <w:ind w:left="111"/>
              <w:rPr>
                <w:sz w:val="20"/>
              </w:rPr>
            </w:pPr>
            <w:r>
              <w:rPr>
                <w:color w:val="231F20"/>
                <w:sz w:val="20"/>
              </w:rPr>
              <w:t>总结、点评、讨论。</w:t>
            </w:r>
          </w:p>
        </w:tc>
        <w:tc>
          <w:tcPr>
            <w:tcW w:w="2644" w:type="dxa"/>
          </w:tcPr>
          <w:p>
            <w:pPr>
              <w:pStyle w:val="TableParagraph"/>
              <w:spacing w:before="13" w:line="320" w:lineRule="atLeast"/>
              <w:ind w:left="111" w:right="96"/>
              <w:jc w:val="both"/>
              <w:rPr>
                <w:sz w:val="20"/>
              </w:rPr>
            </w:pPr>
            <w:r>
              <w:rPr>
                <w:color w:val="231F20"/>
                <w:sz w:val="20"/>
              </w:rPr>
              <w:t>听学生汇报和讨论检索到的资料，就过氧化物酶体的功能、细胞骨架与生物膜系统的关系等进行点评和补充。</w:t>
            </w:r>
          </w:p>
        </w:tc>
        <w:tc>
          <w:tcPr>
            <w:tcW w:w="2396" w:type="dxa"/>
          </w:tcPr>
          <w:p>
            <w:pPr>
              <w:pStyle w:val="TableParagraph"/>
              <w:spacing w:before="76" w:line="300" w:lineRule="auto"/>
              <w:ind w:left="110" w:right="68"/>
              <w:rPr>
                <w:sz w:val="20"/>
              </w:rPr>
            </w:pPr>
            <w:r>
              <w:rPr>
                <w:color w:val="231F20"/>
                <w:sz w:val="20"/>
              </w:rPr>
              <w:t>汇报和讨论检索到的资料，提出其他相关问题。</w:t>
            </w:r>
          </w:p>
        </w:tc>
      </w:tr>
    </w:tbl>
    <w:p>
      <w:pPr>
        <w:pStyle w:val="BodyText"/>
      </w:pPr>
    </w:p>
    <w:p>
      <w:pPr>
        <w:pStyle w:val="BodyText"/>
        <w:spacing w:before="5"/>
        <w:rPr>
          <w:sz w:val="19"/>
        </w:rPr>
      </w:pPr>
    </w:p>
    <w:p>
      <w:pPr>
        <w:pStyle w:val="BodyText"/>
        <w:tabs>
          <w:tab w:val="left" w:pos="1915"/>
        </w:tabs>
        <w:spacing w:line="328" w:lineRule="auto"/>
        <w:ind w:left="220" w:right="291" w:firstLine="480"/>
      </w:pPr>
      <w:r>
        <w:rPr>
          <w:color w:val="231F20"/>
          <w:position w:val="1"/>
          <w:sz w:val="21"/>
        </w:rPr>
        <w:t>案</w:t>
      </w:r>
      <w:r>
        <w:rPr>
          <w:color w:val="231F20"/>
          <w:spacing w:val="27"/>
          <w:position w:val="1"/>
          <w:sz w:val="21"/>
        </w:rPr>
        <w:t>例</w:t>
      </w:r>
      <w:r>
        <w:rPr>
          <w:rFonts w:ascii="Times New Roman" w:eastAsia="Times New Roman" w:hAnsi="Times New Roman"/>
          <w:b/>
          <w:color w:val="231F20"/>
          <w:position w:val="1"/>
          <w:sz w:val="21"/>
        </w:rPr>
        <w:t>8</w:t>
      </w:r>
      <w:r>
        <w:rPr>
          <w:rFonts w:ascii="Times New Roman" w:eastAsia="Times New Roman" w:hAnsi="Times New Roman"/>
          <w:b/>
          <w:color w:val="231F20"/>
          <w:spacing w:val="-26"/>
          <w:position w:val="1"/>
          <w:sz w:val="21"/>
        </w:rPr>
        <w:t xml:space="preserve"> </w:t>
      </w:r>
      <w:r>
        <w:rPr>
          <w:color w:val="231F20"/>
          <w:position w:val="1"/>
          <w:sz w:val="21"/>
        </w:rPr>
        <w:t>评析</w:t>
        <w:tab/>
      </w:r>
      <w:r>
        <w:rPr>
          <w:color w:val="231F20"/>
          <w:spacing w:val="-11"/>
        </w:rPr>
        <w:t>本案例利用在线课程平</w:t>
      </w:r>
      <w:r>
        <w:rPr>
          <w:color w:val="231F20"/>
          <w:spacing w:val="-12"/>
        </w:rPr>
        <w:t>台</w:t>
      </w:r>
      <w:r>
        <w:rPr>
          <w:color w:val="231F20"/>
          <w:spacing w:val="-11"/>
        </w:rPr>
        <w:t>，教师向学生提供有</w:t>
      </w:r>
      <w:r>
        <w:rPr>
          <w:color w:val="231F20"/>
          <w:spacing w:val="20"/>
        </w:rPr>
        <w:t>声</w:t>
      </w:r>
      <w:r>
        <w:rPr>
          <w:rFonts w:ascii="Times New Roman" w:eastAsia="Times New Roman" w:hAnsi="Times New Roman"/>
          <w:color w:val="231F20"/>
        </w:rPr>
        <w:t>PPT</w:t>
      </w:r>
      <w:r>
        <w:rPr>
          <w:color w:val="231F20"/>
        </w:rPr>
        <w:t>课</w:t>
      </w:r>
      <w:r>
        <w:rPr>
          <w:color w:val="231F20"/>
          <w:spacing w:val="-12"/>
        </w:rPr>
        <w:t>件</w:t>
      </w:r>
      <w:r>
        <w:rPr>
          <w:color w:val="231F20"/>
          <w:spacing w:val="-3"/>
        </w:rPr>
        <w:t>、扩展资</w:t>
      </w:r>
      <w:r>
        <w:rPr>
          <w:color w:val="231F20"/>
          <w:spacing w:val="-12"/>
        </w:rPr>
        <w:t>料</w:t>
      </w:r>
      <w:r>
        <w:rPr>
          <w:color w:val="231F20"/>
          <w:spacing w:val="-3"/>
        </w:rPr>
        <w:t>、在线评价测试等学习资</w:t>
      </w:r>
      <w:r>
        <w:rPr>
          <w:color w:val="231F20"/>
          <w:spacing w:val="-12"/>
        </w:rPr>
        <w:t>源</w:t>
      </w:r>
      <w:r>
        <w:rPr>
          <w:color w:val="231F20"/>
          <w:spacing w:val="-3"/>
        </w:rPr>
        <w:t>，由学生自主完成在线学</w:t>
      </w:r>
      <w:r>
        <w:rPr>
          <w:color w:val="231F20"/>
          <w:spacing w:val="-12"/>
        </w:rPr>
        <w:t>习</w:t>
      </w:r>
      <w:r>
        <w:rPr>
          <w:color w:val="231F20"/>
          <w:spacing w:val="-14"/>
        </w:rPr>
        <w:t>。</w:t>
      </w:r>
      <w:r>
        <w:rPr>
          <w:color w:val="231F20"/>
          <w:spacing w:val="-8"/>
        </w:rPr>
        <w:t>在课堂实践部</w:t>
      </w:r>
      <w:r>
        <w:rPr>
          <w:color w:val="231F20"/>
          <w:spacing w:val="-12"/>
        </w:rPr>
        <w:t>分</w:t>
      </w:r>
      <w:r>
        <w:rPr>
          <w:color w:val="231F20"/>
          <w:spacing w:val="-8"/>
        </w:rPr>
        <w:t>，学生通过拼装细胞模</w:t>
      </w:r>
      <w:r>
        <w:rPr>
          <w:color w:val="231F20"/>
          <w:spacing w:val="-12"/>
        </w:rPr>
        <w:t>型</w:t>
      </w:r>
      <w:r>
        <w:rPr>
          <w:color w:val="231F20"/>
          <w:spacing w:val="-8"/>
        </w:rPr>
        <w:t>，讨论回答相关问</w:t>
      </w:r>
      <w:r>
        <w:rPr>
          <w:color w:val="231F20"/>
          <w:spacing w:val="-12"/>
        </w:rPr>
        <w:t>题</w:t>
      </w:r>
      <w:r>
        <w:rPr>
          <w:color w:val="231F20"/>
          <w:spacing w:val="-8"/>
        </w:rPr>
        <w:t>，以及</w:t>
      </w:r>
      <w:r>
        <w:rPr>
          <w:color w:val="231F20"/>
        </w:rPr>
        <w:t>利</w:t>
      </w:r>
      <w:r>
        <w:rPr>
          <w:color w:val="231F20"/>
          <w:spacing w:val="-8"/>
        </w:rPr>
        <w:t>用网络资源探究模型中出现但教材中未出现</w:t>
      </w:r>
      <w:r>
        <w:rPr>
          <w:color w:val="231F20"/>
          <w:spacing w:val="-12"/>
        </w:rPr>
        <w:t>的</w:t>
      </w:r>
      <w:r>
        <w:rPr>
          <w:color w:val="231F20"/>
          <w:spacing w:val="-8"/>
        </w:rPr>
        <w:t>“新的细胞器”等学习过</w:t>
      </w:r>
      <w:r>
        <w:rPr>
          <w:color w:val="231F20"/>
          <w:spacing w:val="-12"/>
        </w:rPr>
        <w:t>程</w:t>
      </w:r>
      <w:r>
        <w:rPr>
          <w:color w:val="231F20"/>
          <w:spacing w:val="-8"/>
        </w:rPr>
        <w:t>，认识细胞结构和功能相互协调的关</w:t>
      </w:r>
      <w:r>
        <w:rPr>
          <w:color w:val="231F20"/>
          <w:spacing w:val="-12"/>
        </w:rPr>
        <w:t>系</w:t>
      </w:r>
      <w:r>
        <w:rPr>
          <w:color w:val="231F20"/>
          <w:spacing w:val="-8"/>
        </w:rPr>
        <w:t>，发展生命观</w:t>
      </w:r>
      <w:r>
        <w:rPr>
          <w:color w:val="231F20"/>
          <w:spacing w:val="-12"/>
        </w:rPr>
        <w:t>念</w:t>
      </w:r>
      <w:r>
        <w:rPr>
          <w:color w:val="231F20"/>
          <w:spacing w:val="-8"/>
        </w:rPr>
        <w:t>、科学思维</w:t>
      </w:r>
      <w:r>
        <w:rPr>
          <w:color w:val="231F20"/>
        </w:rPr>
        <w:t>和</w:t>
      </w:r>
      <w:r>
        <w:rPr>
          <w:color w:val="231F20"/>
          <w:spacing w:val="-8"/>
        </w:rPr>
        <w:t>科学探究等核心素</w:t>
      </w:r>
      <w:r>
        <w:rPr>
          <w:color w:val="231F20"/>
          <w:spacing w:val="-12"/>
        </w:rPr>
        <w:t>养</w:t>
      </w:r>
      <w:r>
        <w:rPr>
          <w:color w:val="231F20"/>
          <w:spacing w:val="-8"/>
        </w:rPr>
        <w:t>。相比于传统的课</w:t>
      </w:r>
      <w:r>
        <w:rPr>
          <w:color w:val="231F20"/>
          <w:spacing w:val="-12"/>
        </w:rPr>
        <w:t>堂</w:t>
      </w:r>
      <w:r>
        <w:rPr>
          <w:color w:val="231F20"/>
          <w:spacing w:val="-8"/>
        </w:rPr>
        <w:t>，借助信息技术的生物教学利于发挥学生自主</w:t>
      </w:r>
      <w:r>
        <w:rPr>
          <w:color w:val="231F20"/>
          <w:spacing w:val="-12"/>
        </w:rPr>
        <w:t>性</w:t>
      </w:r>
      <w:r>
        <w:rPr>
          <w:color w:val="231F20"/>
          <w:spacing w:val="-8"/>
        </w:rPr>
        <w:t>；丰富的教学资</w:t>
      </w:r>
      <w:r>
        <w:rPr>
          <w:color w:val="231F20"/>
          <w:spacing w:val="-12"/>
        </w:rPr>
        <w:t>源</w:t>
      </w:r>
      <w:r>
        <w:rPr>
          <w:color w:val="231F20"/>
          <w:spacing w:val="-8"/>
        </w:rPr>
        <w:t>，利于扩展学生视</w:t>
      </w:r>
      <w:r>
        <w:rPr>
          <w:color w:val="231F20"/>
          <w:spacing w:val="-12"/>
        </w:rPr>
        <w:t>野</w:t>
      </w:r>
      <w:r>
        <w:rPr>
          <w:color w:val="231F20"/>
          <w:spacing w:val="-8"/>
        </w:rPr>
        <w:t>，激发学习</w:t>
      </w:r>
      <w:r>
        <w:rPr>
          <w:color w:val="231F20"/>
        </w:rPr>
        <w:t>热</w:t>
      </w:r>
      <w:r>
        <w:rPr>
          <w:color w:val="231F20"/>
          <w:spacing w:val="-12"/>
        </w:rPr>
        <w:t>情</w:t>
      </w:r>
      <w:r>
        <w:rPr>
          <w:color w:val="231F20"/>
          <w:spacing w:val="-8"/>
        </w:rPr>
        <w:t>；基于学生课下的在线自主学</w:t>
      </w:r>
      <w:r>
        <w:rPr>
          <w:color w:val="231F20"/>
          <w:spacing w:val="-12"/>
        </w:rPr>
        <w:t>习</w:t>
      </w:r>
      <w:r>
        <w:rPr>
          <w:color w:val="231F20"/>
          <w:spacing w:val="-8"/>
        </w:rPr>
        <w:t>，教师在课上可更有针对性地解决学</w:t>
      </w:r>
      <w:r>
        <w:rPr>
          <w:color w:val="231F20"/>
          <w:spacing w:val="-12"/>
        </w:rPr>
        <w:t>生的疑惑，开展更有挑战的学习活动，提高课堂教学的有效性。</w:t>
      </w:r>
    </w:p>
    <w:sectPr>
      <w:pgSz w:w="10780" w:h="15090"/>
      <w:pgMar w:top="1260" w:right="1460" w:bottom="1400" w:left="1480" w:header="1029" w:footer="1217"/>
      <w:cols w:space="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宋体">
    <w:altName w:val="宋体"/>
    <w:charset w:val="86"/>
    <w:family w:val="auto"/>
    <w:pitch w:val="variable"/>
  </w:font>
  <w:font w:name="Arial">
    <w:altName w:val="Arial"/>
    <w:charset w:val="00"/>
    <w:family w:val="swiss"/>
    <w:pitch w:val="variable"/>
  </w:font>
  <w:font w:name="Microsoft New Tai Lue">
    <w:altName w:val="Microsoft New Tai Lue"/>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width:11.25pt;height:13.75pt;margin-top:682.18pt;margin-left:82.04pt;mso-position-horizontal-relative:page;mso-position-vertical-relative:page;position:absolute;z-index:-251657216"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2</w:t>
                </w:r>
                <w:r>
                  <w:fldChar w:fldCharType="end"/>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width:11.25pt;height:13.75pt;margin-top:682.18pt;margin-left:445.29pt;mso-position-horizontal-relative:page;mso-position-vertical-relative:page;position:absolute;z-index:-251648000"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3</w:t>
                </w:r>
                <w:r>
                  <w:fldChar w:fldCharType="end"/>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0" type="#_x0000_t202" style="width:11.25pt;height:13.75pt;margin-top:682.18pt;margin-left:82.04pt;mso-position-horizontal-relative:page;mso-position-vertical-relative:page;position:absolute;z-index:-251646976"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4</w:t>
                </w:r>
                <w:r>
                  <w:fldChar w:fldCharType="end"/>
                </w:r>
              </w:p>
            </w:txbxContent>
          </v:textbox>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1" type="#_x0000_t202" style="width:11.25pt;height:13.75pt;margin-top:682.18pt;margin-left:445.29pt;mso-position-horizontal-relative:page;mso-position-vertical-relative:page;position:absolute;z-index:-251645952"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w:t>
                </w:r>
                <w:r>
                  <w:fldChar w:fldCharType="end"/>
                </w:r>
              </w:p>
            </w:txbxContent>
          </v:textbox>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3" type="#_x0000_t202" style="width:16.5pt;height:13.75pt;margin-top:682.18pt;margin-left:82.04pt;mso-position-horizontal-relative:page;mso-position-vertical-relative:page;position:absolute;z-index:-251643904"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10</w:t>
                </w:r>
                <w:r>
                  <w:fldChar w:fldCharType="end"/>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4" type="#_x0000_t202" style="width:11.25pt;height:13.75pt;margin-top:682.18pt;margin-left:445.29pt;mso-position-horizontal-relative:page;mso-position-vertical-relative:page;position:absolute;z-index:-251642880"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7</w:t>
                </w:r>
                <w:r>
                  <w:fldChar w:fldCharType="end"/>
                </w:r>
              </w:p>
            </w:txbxContent>
          </v:textbox>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6" type="#_x0000_t202" style="width:11.25pt;height:13.75pt;margin-top:682.18pt;margin-left:82.04pt;mso-position-horizontal-relative:page;mso-position-vertical-relative:page;position:absolute;z-index:-251640832"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8</w:t>
                </w:r>
                <w:r>
                  <w:fldChar w:fldCharType="end"/>
                </w:r>
              </w:p>
            </w:txbxContent>
          </v:textbox>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7" type="#_x0000_t202" style="width:11.25pt;height:13.75pt;margin-top:682.18pt;margin-left:445.29pt;mso-position-horizontal-relative:page;mso-position-vertical-relative:page;position:absolute;z-index:-251639808"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9</w:t>
                </w:r>
                <w:r>
                  <w:fldChar w:fldCharType="end"/>
                </w:r>
              </w:p>
            </w:txbxContent>
          </v:textbox>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9" type="#_x0000_t202" style="width:16.5pt;height:13.75pt;margin-top:682.18pt;margin-left:82.04pt;mso-position-horizontal-relative:page;mso-position-vertical-relative:page;position:absolute;z-index:-251637760"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10</w:t>
                </w:r>
                <w:r>
                  <w:fldChar w:fldCharType="end"/>
                </w:r>
              </w:p>
            </w:txbxContent>
          </v:textbox>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0" type="#_x0000_t202" style="width:16.5pt;height:13.75pt;margin-top:682.18pt;margin-left:440.04pt;mso-position-horizontal-relative:page;mso-position-vertical-relative:page;position:absolute;z-index:-251636736"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11</w:t>
                </w:r>
                <w:r>
                  <w:fldChar w:fldCharType="end"/>
                </w:r>
              </w:p>
            </w:txbxContent>
          </v:textbox>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3" type="#_x0000_t202" style="width:16.5pt;height:13.75pt;margin-top:682.18pt;margin-left:82.04pt;mso-position-horizontal-relative:page;mso-position-vertical-relative:page;position:absolute;z-index:-251633664"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12</w:t>
                </w:r>
                <w:r>
                  <w:fldChar w:fldCharType="end"/>
                </w: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11.25pt;height:13.75pt;margin-top:682.18pt;margin-left:445.29pt;mso-position-horizontal-relative:page;mso-position-vertical-relative:page;position:absolute;z-index:-251658240"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w:t>
                </w:r>
                <w:r>
                  <w:fldChar w:fldCharType="end"/>
                </w:r>
              </w:p>
            </w:txbxContent>
          </v:textbox>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4" type="#_x0000_t202" style="width:16.5pt;height:13.75pt;margin-top:682.18pt;margin-left:440.04pt;mso-position-horizontal-relative:page;mso-position-vertical-relative:page;position:absolute;z-index:-251632640"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13</w:t>
                </w:r>
                <w:r>
                  <w:fldChar w:fldCharType="end"/>
                </w:r>
              </w:p>
            </w:txbxContent>
          </v:textbox>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6" type="#_x0000_t202" style="width:16.5pt;height:13.75pt;margin-top:682.18pt;margin-left:82.04pt;mso-position-horizontal-relative:page;mso-position-vertical-relative:page;position:absolute;z-index:-251630592"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52</w:t>
                </w:r>
                <w:r>
                  <w:fldChar w:fldCharType="end"/>
                </w:r>
              </w:p>
            </w:txbxContent>
          </v:textbox>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5" type="#_x0000_t202" style="width:16.5pt;height:13.75pt;margin-top:682.18pt;margin-left:440.04pt;mso-position-horizontal-relative:page;mso-position-vertical-relative:page;position:absolute;z-index:-251631616"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51</w:t>
                </w:r>
                <w:r>
                  <w:fldChar w:fldCharType="end"/>
                </w:r>
              </w:p>
            </w:txbxContent>
          </v:textbox>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0" type="#_x0000_t202" style="width:16.5pt;height:13.75pt;margin-top:682.18pt;margin-left:82.04pt;mso-position-horizontal-relative:page;mso-position-vertical-relative:page;position:absolute;z-index:-251626496"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54</w:t>
                </w:r>
                <w:r>
                  <w:fldChar w:fldCharType="end"/>
                </w:r>
              </w:p>
            </w:txbxContent>
          </v:textbox>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9" type="#_x0000_t202" style="width:16.5pt;height:13.75pt;margin-top:682.18pt;margin-left:440.04pt;mso-position-horizontal-relative:page;mso-position-vertical-relative:page;position:absolute;z-index:-251627520"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53</w:t>
                </w:r>
                <w:r>
                  <w:fldChar w:fldCharType="end"/>
                </w:r>
              </w:p>
            </w:txbxContent>
          </v:textbox>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1" type="#_x0000_t202" style="width:16.5pt;height:13.75pt;margin-top:682.18pt;margin-left:82.04pt;mso-position-horizontal-relative:page;mso-position-vertical-relative:page;position:absolute;z-index:-251625472"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56</w:t>
                </w:r>
                <w:r>
                  <w:fldChar w:fldCharType="end"/>
                </w:r>
              </w:p>
            </w:txbxContent>
          </v:textbox>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2" type="#_x0000_t202" style="width:16.5pt;height:13.75pt;margin-top:682.18pt;margin-left:440.04pt;mso-position-horizontal-relative:page;mso-position-vertical-relative:page;position:absolute;z-index:-251624448"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57</w:t>
                </w:r>
                <w:r>
                  <w:fldChar w:fldCharType="end"/>
                </w:r>
              </w:p>
            </w:txbxContent>
          </v:textbox>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5" type="#_x0000_t202" style="width:16.5pt;height:13.75pt;margin-top:682.18pt;margin-left:82.04pt;mso-position-horizontal-relative:page;mso-position-vertical-relative:page;position:absolute;z-index:-251621376"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58</w:t>
                </w:r>
                <w:r>
                  <w:fldChar w:fldCharType="end"/>
                </w:r>
              </w:p>
            </w:txbxContent>
          </v:textbox>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6" type="#_x0000_t202" style="width:16.5pt;height:13.75pt;margin-top:682.18pt;margin-left:440.04pt;mso-position-horizontal-relative:page;mso-position-vertical-relative:page;position:absolute;z-index:-251620352"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59</w:t>
                </w:r>
                <w:r>
                  <w:fldChar w:fldCharType="end"/>
                </w:r>
              </w:p>
            </w:txbxContent>
          </v:textbox>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7" type="#_x0000_t202" style="width:16.5pt;height:13.75pt;margin-top:682.18pt;margin-left:82.04pt;mso-position-horizontal-relative:page;mso-position-vertical-relative:page;position:absolute;z-index:-251619328"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74</w:t>
                </w:r>
                <w:r>
                  <w:fldChar w:fldCharType="end"/>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width:11.25pt;height:13.75pt;margin-top:682.18pt;margin-left:82.04pt;mso-position-horizontal-relative:page;mso-position-vertical-relative:page;position:absolute;z-index:-251653120"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4</w:t>
                </w:r>
                <w:r>
                  <w:fldChar w:fldCharType="end"/>
                </w:r>
              </w:p>
            </w:txbxContent>
          </v:textbox>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8" type="#_x0000_t202" style="width:16.5pt;height:13.75pt;margin-top:682.18pt;margin-left:440.04pt;mso-position-horizontal-relative:page;mso-position-vertical-relative:page;position:absolute;z-index:-251618304"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75</w:t>
                </w:r>
                <w:r>
                  <w:fldChar w:fldCharType="end"/>
                </w:r>
              </w:p>
            </w:txbxContent>
          </v:textbox>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91" type="#_x0000_t202" style="width:16.5pt;height:13.75pt;margin-top:682.18pt;margin-left:82.04pt;mso-position-horizontal-relative:page;mso-position-vertical-relative:page;position:absolute;z-index:-251615232"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76</w:t>
                </w:r>
                <w:r>
                  <w:fldChar w:fldCharType="end"/>
                </w:r>
              </w:p>
            </w:txbxContent>
          </v:textbox>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92" type="#_x0000_t202" style="width:16.5pt;height:13.75pt;margin-top:682.18pt;margin-left:440.04pt;mso-position-horizontal-relative:page;mso-position-vertical-relative:page;position:absolute;z-index:-251614208"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77</w:t>
                </w:r>
                <w:r>
                  <w:fldChar w:fldCharType="end"/>
                </w:r>
              </w:p>
            </w:txbxContent>
          </v:textbox>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width:11.25pt;height:13.75pt;margin-top:682.18pt;margin-left:445.29pt;mso-position-horizontal-relative:page;mso-position-vertical-relative:page;position:absolute;z-index:-251654144"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3</w:t>
                </w:r>
                <w:r>
                  <w:fldChar w:fldCharType="end"/>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width:11.25pt;height:13.75pt;margin-top:682.18pt;margin-left:445.29pt;mso-position-horizontal-relative:page;mso-position-vertical-relative:page;position:absolute;z-index:-251652096"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w:t>
                </w:r>
                <w:r>
                  <w:fldChar w:fldCharType="end"/>
                </w:r>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7" type="#_x0000_t202" style="width:16.5pt;height:13.75pt;margin-top:682.18pt;margin-left:440.04pt;mso-position-horizontal-relative:page;mso-position-vertical-relative:page;position:absolute;z-index:-251650048"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11</w:t>
                </w:r>
                <w:r>
                  <w:fldChar w:fldCharType="end"/>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6" type="#_x0000_t202" style="width:11.25pt;height:13.75pt;margin-top:682.18pt;margin-left:445.29pt;mso-position-horizontal-relative:page;mso-position-vertical-relative:page;position:absolute;z-index:-251651072"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3</w:t>
                </w:r>
                <w:r>
                  <w:fldChar w:fldCharType="end"/>
                </w:r>
              </w:p>
            </w:txbxContent>
          </v:textbox>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8" type="#_x0000_t202" style="width:11.25pt;height:13.75pt;margin-top:682.18pt;margin-left:82.04pt;mso-position-horizontal-relative:page;mso-position-vertical-relative:page;position:absolute;z-index:-251649024" filled="f" stroked="f">
          <v:textbox inset="0,0,0,0">
            <w:txbxContent>
              <w:p>
                <w:pPr>
                  <w:spacing w:before="12"/>
                  <w:ind w:left="60" w:right="0" w:firstLine="0"/>
                  <w:jc w:val="left"/>
                  <w:rPr>
                    <w:rFonts w:ascii="Times New Roman"/>
                    <w:sz w:val="21"/>
                  </w:rPr>
                </w:pPr>
                <w:r>
                  <w:fldChar w:fldCharType="begin"/>
                </w:r>
                <w:r>
                  <w:rPr>
                    <w:rFonts w:ascii="Times New Roman"/>
                    <w:color w:val="231F20"/>
                    <w:sz w:val="21"/>
                  </w:rPr>
                  <w:instrText xml:space="preserve"> PAGE </w:instrText>
                </w:r>
                <w:r>
                  <w:fldChar w:fldCharType="separate"/>
                </w:r>
                <w:r>
                  <w:t>2</w:t>
                </w:r>
                <w:r>
                  <w:fldChar w:fldCharType="end"/>
                </w:r>
              </w:p>
            </w:txbxContent>
          </v:textbox>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width:52pt;height:14.2pt;margin-top:50.46pt;margin-left:407.5pt;mso-position-horizontal-relative:page;mso-position-vertical-relative:page;position:absolute;z-index:-251655168" filled="f" stroked="f">
          <v:textbox inset="0,0,0,0">
            <w:txbxContent>
              <w:p>
                <w:pPr>
                  <w:spacing w:before="10"/>
                  <w:ind w:left="20" w:right="0" w:firstLine="0"/>
                  <w:jc w:val="left"/>
                  <w:rPr>
                    <w:sz w:val="20"/>
                  </w:rPr>
                </w:pPr>
                <w:r>
                  <w:rPr>
                    <w:color w:val="231F20"/>
                    <w:sz w:val="20"/>
                  </w:rPr>
                  <w:t>│ 前言 │</w:t>
                </w:r>
              </w:p>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2" type="#_x0000_t202" style="width:245.55pt;height:15.7pt;margin-top:48.46pt;margin-left:84.04pt;mso-position-horizontal-relative:page;mso-position-vertical-relative:page;position:absolute;z-index:-251644928"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5" type="#_x0000_t202" style="width:245.55pt;height:15.7pt;margin-top:48.46pt;margin-left:84.04pt;mso-position-horizontal-relative:page;mso-position-vertical-relative:page;position:absolute;z-index:-251641856"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68" type="#_x0000_t202" style="width:245.55pt;height:15.7pt;margin-top:48.46pt;margin-left:84.04pt;mso-position-horizontal-relative:page;mso-position-vertical-relative:page;position:absolute;z-index:-251638784"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1" type="#_x0000_t202" style="width:245.55pt;height:15.7pt;margin-top:48.46pt;margin-left:84.04pt;mso-position-horizontal-relative:page;mso-position-vertical-relative:page;position:absolute;z-index:-251635712"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2" type="#_x0000_t202" style="width:92pt;height:14.2pt;margin-top:50.46pt;margin-left:367.5pt;mso-position-horizontal-relative:page;mso-position-vertical-relative:page;position:absolute;z-index:-251634688" filled="f" stroked="f">
          <v:textbox inset="0,0,0,0">
            <w:txbxContent>
              <w:p>
                <w:pPr>
                  <w:spacing w:before="10"/>
                  <w:ind w:left="20" w:right="0" w:firstLine="0"/>
                  <w:jc w:val="left"/>
                  <w:rPr>
                    <w:sz w:val="20"/>
                  </w:rPr>
                </w:pPr>
                <w:r>
                  <w:rPr>
                    <w:color w:val="231F20"/>
                    <w:sz w:val="20"/>
                  </w:rPr>
                  <w:t>│ 四、课程内容 │</w:t>
                </w:r>
              </w:p>
            </w:txbxContent>
          </v:textbox>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width:245.55pt;height:15.7pt;margin-top:48.46pt;margin-left:84.04pt;mso-position-horizontal-relative:page;mso-position-vertical-relative:page;position:absolute;z-index:-251656192"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8" type="#_x0000_t202" style="width:92pt;height:14.2pt;margin-top:50.46pt;margin-left:367.5pt;mso-position-horizontal-relative:page;mso-position-vertical-relative:page;position:absolute;z-index:-251628544" filled="f" stroked="f">
          <v:textbox inset="0,0,0,0">
            <w:txbxContent>
              <w:p>
                <w:pPr>
                  <w:spacing w:before="10"/>
                  <w:ind w:left="20" w:right="0" w:firstLine="0"/>
                  <w:jc w:val="left"/>
                  <w:rPr>
                    <w:sz w:val="20"/>
                  </w:rPr>
                </w:pPr>
                <w:r>
                  <w:rPr>
                    <w:color w:val="231F20"/>
                    <w:sz w:val="20"/>
                  </w:rPr>
                  <w:t>│ 五、学业质量 │</w:t>
                </w:r>
              </w:p>
            </w:txbxContent>
          </v:textbox>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77" type="#_x0000_t202" style="width:245.55pt;height:15.7pt;margin-top:48.46pt;margin-left:84.04pt;mso-position-horizontal-relative:page;mso-position-vertical-relative:page;position:absolute;z-index:-251629568"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3" type="#_x0000_t202" style="width:92pt;height:14.2pt;margin-top:50.46pt;margin-left:367.5pt;mso-position-horizontal-relative:page;mso-position-vertical-relative:page;position:absolute;z-index:-251623424" filled="f" stroked="f">
          <v:textbox inset="0,0,0,0">
            <w:txbxContent>
              <w:p>
                <w:pPr>
                  <w:spacing w:before="10"/>
                  <w:ind w:left="20" w:right="0" w:firstLine="0"/>
                  <w:jc w:val="left"/>
                  <w:rPr>
                    <w:sz w:val="20"/>
                  </w:rPr>
                </w:pPr>
                <w:r>
                  <w:rPr>
                    <w:color w:val="231F20"/>
                    <w:sz w:val="20"/>
                  </w:rPr>
                  <w:t>│ 六、实施建议 │</w:t>
                </w:r>
              </w:p>
            </w:txbxContent>
          </v:textbox>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4" type="#_x0000_t202" style="width:245.55pt;height:15.7pt;margin-top:48.46pt;margin-left:84.04pt;mso-position-horizontal-relative:page;mso-position-vertical-relative:page;position:absolute;z-index:-251622400"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89" type="#_x0000_t202" style="width:47pt;height:14.2pt;margin-top:50.46pt;margin-left:412.5pt;mso-position-horizontal-relative:page;mso-position-vertical-relative:page;position:absolute;z-index:-251617280" filled="f" stroked="f">
          <v:textbox inset="0,0,0,0">
            <w:txbxContent>
              <w:p>
                <w:pPr>
                  <w:spacing w:before="10"/>
                  <w:ind w:left="20" w:right="0" w:firstLine="0"/>
                  <w:jc w:val="left"/>
                  <w:rPr>
                    <w:sz w:val="20"/>
                  </w:rPr>
                </w:pPr>
                <w:r>
                  <w:rPr>
                    <w:color w:val="231F20"/>
                    <w:sz w:val="20"/>
                  </w:rPr>
                  <w:t>│ 附录│</w:t>
                </w:r>
              </w:p>
            </w:txbxContent>
          </v:textbox>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0"/>
      </w:rPr>
    </w:pPr>
    <w:r>
      <w:pict>
        <v:shapetype id="_x0000_t202" coordsize="21600,21600" o:spt="202" path="m,l,21600r21600,l21600,xe">
          <v:stroke joinstyle="miter"/>
          <v:path gradientshapeok="t" o:connecttype="rect"/>
        </v:shapetype>
        <v:shape id="_x0000_s2090" type="#_x0000_t202" style="width:245.55pt;height:15.7pt;margin-top:48.46pt;margin-left:84.04pt;mso-position-horizontal-relative:page;mso-position-vertical-relative:page;position:absolute;z-index:-251616256" filled="f" stroked="f">
          <v:textbox inset="0,0,0,0">
            <w:txbxContent>
              <w:p>
                <w:pPr>
                  <w:pStyle w:val="BodyText"/>
                  <w:spacing w:line="298" w:lineRule="exact"/>
                  <w:ind w:left="20"/>
                </w:pPr>
                <w:r>
                  <w:rPr>
                    <w:color w:val="231F20"/>
                    <w:spacing w:val="-20"/>
                  </w:rPr>
                  <w:t>普通高中生物学课程标准</w:t>
                </w:r>
                <w:r>
                  <w:rPr>
                    <w:color w:val="231F20"/>
                    <w:spacing w:val="-14"/>
                  </w:rPr>
                  <w:t>（2017</w:t>
                </w:r>
                <w:r>
                  <w:rPr>
                    <w:color w:val="231F20"/>
                    <w:spacing w:val="-5"/>
                  </w:rPr>
                  <w:t>年版</w:t>
                </w:r>
                <w:r>
                  <w:rPr>
                    <w:color w:val="231F20"/>
                    <w:spacing w:val="-13"/>
                  </w:rPr>
                  <w:t>2020</w:t>
                </w:r>
                <w:r>
                  <w:rPr>
                    <w:color w:val="231F20"/>
                    <w:spacing w:val="-20"/>
                  </w:rPr>
                  <w:t>年修订）</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9836"/>
    <w:multiLevelType w:val="hybridMultilevel"/>
    <w:tmpl w:val="00000000"/>
    <w:lvl w:ilvl="0">
      <w:start w:val="6"/>
      <w:numFmt w:val="decimal"/>
      <w:lvlText w:val="（%1）"/>
      <w:lvlJc w:val="left"/>
      <w:pPr>
        <w:ind w:left="220" w:hanging="601"/>
        <w:jc w:val="left"/>
      </w:pPr>
      <w:rPr>
        <w:rFonts w:ascii="宋体" w:eastAsia="宋体" w:hAnsi="宋体" w:cs="宋体" w:hint="default"/>
        <w:color w:val="231F20"/>
        <w:spacing w:val="-17"/>
        <w:w w:val="100"/>
        <w:sz w:val="22"/>
        <w:szCs w:val="22"/>
        <w:lang w:val="zh-CN" w:eastAsia="zh-CN" w:bidi="zh-CN"/>
      </w:rPr>
    </w:lvl>
    <w:lvl w:ilvl="1">
      <w:start w:val="0"/>
      <w:numFmt w:val="bullet"/>
      <w:lvlText w:val="●"/>
      <w:lvlJc w:val="left"/>
      <w:pPr>
        <w:ind w:left="220" w:hanging="183"/>
      </w:pPr>
      <w:rPr>
        <w:rFonts w:ascii="宋体" w:eastAsia="宋体" w:hAnsi="宋体" w:cs="宋体" w:hint="default"/>
        <w:color w:val="231F20"/>
        <w:w w:val="100"/>
        <w:position w:val="4"/>
        <w:sz w:val="12"/>
        <w:szCs w:val="12"/>
        <w:lang w:val="zh-CN" w:eastAsia="zh-CN" w:bidi="zh-CN"/>
      </w:rPr>
    </w:lvl>
    <w:lvl w:ilvl="2">
      <w:start w:val="0"/>
      <w:numFmt w:val="bullet"/>
      <w:lvlText w:val="●"/>
      <w:lvlJc w:val="left"/>
      <w:pPr>
        <w:ind w:left="390" w:hanging="183"/>
      </w:pPr>
      <w:rPr>
        <w:rFonts w:ascii="宋体" w:eastAsia="宋体" w:hAnsi="宋体" w:cs="宋体" w:hint="default"/>
        <w:color w:val="231F20"/>
        <w:w w:val="100"/>
        <w:position w:val="4"/>
        <w:sz w:val="12"/>
        <w:szCs w:val="12"/>
        <w:lang w:val="zh-CN" w:eastAsia="zh-CN" w:bidi="zh-CN"/>
      </w:rPr>
    </w:lvl>
    <w:lvl w:ilvl="3">
      <w:start w:val="0"/>
      <w:numFmt w:val="bullet"/>
      <w:lvlText w:val="•"/>
      <w:lvlJc w:val="left"/>
      <w:pPr>
        <w:ind w:left="2051" w:hanging="183"/>
      </w:pPr>
      <w:rPr>
        <w:rFonts w:hint="default"/>
        <w:lang w:val="zh-CN" w:eastAsia="zh-CN" w:bidi="zh-CN"/>
      </w:rPr>
    </w:lvl>
    <w:lvl w:ilvl="4">
      <w:start w:val="0"/>
      <w:numFmt w:val="bullet"/>
      <w:lvlText w:val="•"/>
      <w:lvlJc w:val="left"/>
      <w:pPr>
        <w:ind w:left="2877" w:hanging="183"/>
      </w:pPr>
      <w:rPr>
        <w:rFonts w:hint="default"/>
        <w:lang w:val="zh-CN" w:eastAsia="zh-CN" w:bidi="zh-CN"/>
      </w:rPr>
    </w:lvl>
    <w:lvl w:ilvl="5">
      <w:start w:val="0"/>
      <w:numFmt w:val="bullet"/>
      <w:lvlText w:val="•"/>
      <w:lvlJc w:val="left"/>
      <w:pPr>
        <w:ind w:left="3702" w:hanging="183"/>
      </w:pPr>
      <w:rPr>
        <w:rFonts w:hint="default"/>
        <w:lang w:val="zh-CN" w:eastAsia="zh-CN" w:bidi="zh-CN"/>
      </w:rPr>
    </w:lvl>
    <w:lvl w:ilvl="6">
      <w:start w:val="0"/>
      <w:numFmt w:val="bullet"/>
      <w:lvlText w:val="•"/>
      <w:lvlJc w:val="left"/>
      <w:pPr>
        <w:ind w:left="4528" w:hanging="183"/>
      </w:pPr>
      <w:rPr>
        <w:rFonts w:hint="default"/>
        <w:lang w:val="zh-CN" w:eastAsia="zh-CN" w:bidi="zh-CN"/>
      </w:rPr>
    </w:lvl>
    <w:lvl w:ilvl="7">
      <w:start w:val="0"/>
      <w:numFmt w:val="bullet"/>
      <w:lvlText w:val="•"/>
      <w:lvlJc w:val="left"/>
      <w:pPr>
        <w:ind w:left="5354" w:hanging="183"/>
      </w:pPr>
      <w:rPr>
        <w:rFonts w:hint="default"/>
        <w:lang w:val="zh-CN" w:eastAsia="zh-CN" w:bidi="zh-CN"/>
      </w:rPr>
    </w:lvl>
    <w:lvl w:ilvl="8">
      <w:start w:val="0"/>
      <w:numFmt w:val="bullet"/>
      <w:lvlText w:val="•"/>
      <w:lvlJc w:val="left"/>
      <w:pPr>
        <w:ind w:left="6180" w:hanging="183"/>
      </w:pPr>
      <w:rPr>
        <w:rFonts w:hint="default"/>
        <w:lang w:val="zh-CN" w:eastAsia="zh-CN" w:bidi="zh-CN"/>
      </w:rPr>
    </w:lvl>
  </w:abstractNum>
  <w:abstractNum w:abstractNumId="1">
    <w:nsid w:val="021C0652"/>
    <w:multiLevelType w:val="hybridMultilevel"/>
    <w:tmpl w:val="00000000"/>
    <w:lvl w:ilvl="0">
      <w:start w:val="1"/>
      <w:numFmt w:val="decimal"/>
      <w:lvlText w:val="%1."/>
      <w:lvlJc w:val="left"/>
      <w:pPr>
        <w:ind w:left="220" w:hanging="308"/>
        <w:jc w:val="right"/>
      </w:pPr>
      <w:rPr>
        <w:rFonts w:ascii="Times New Roman" w:eastAsia="Times New Roman" w:hAnsi="Times New Roman" w:cs="Times New Roman" w:hint="default"/>
        <w:color w:val="231F20"/>
        <w:w w:val="100"/>
        <w:sz w:val="24"/>
        <w:szCs w:val="24"/>
        <w:lang w:val="zh-CN" w:eastAsia="zh-CN" w:bidi="zh-CN"/>
      </w:rPr>
    </w:lvl>
    <w:lvl w:ilvl="1">
      <w:start w:val="0"/>
      <w:numFmt w:val="bullet"/>
      <w:lvlText w:val="•"/>
      <w:lvlJc w:val="left"/>
      <w:pPr>
        <w:ind w:left="981" w:hanging="308"/>
      </w:pPr>
      <w:rPr>
        <w:rFonts w:hint="default"/>
        <w:lang w:val="zh-CN" w:eastAsia="zh-CN" w:bidi="zh-CN"/>
      </w:rPr>
    </w:lvl>
    <w:lvl w:ilvl="2">
      <w:start w:val="0"/>
      <w:numFmt w:val="bullet"/>
      <w:lvlText w:val="•"/>
      <w:lvlJc w:val="left"/>
      <w:pPr>
        <w:ind w:left="1742" w:hanging="308"/>
      </w:pPr>
      <w:rPr>
        <w:rFonts w:hint="default"/>
        <w:lang w:val="zh-CN" w:eastAsia="zh-CN" w:bidi="zh-CN"/>
      </w:rPr>
    </w:lvl>
    <w:lvl w:ilvl="3">
      <w:start w:val="0"/>
      <w:numFmt w:val="bullet"/>
      <w:lvlText w:val="•"/>
      <w:lvlJc w:val="left"/>
      <w:pPr>
        <w:ind w:left="2503" w:hanging="308"/>
      </w:pPr>
      <w:rPr>
        <w:rFonts w:hint="default"/>
        <w:lang w:val="zh-CN" w:eastAsia="zh-CN" w:bidi="zh-CN"/>
      </w:rPr>
    </w:lvl>
    <w:lvl w:ilvl="4">
      <w:start w:val="0"/>
      <w:numFmt w:val="bullet"/>
      <w:lvlText w:val="•"/>
      <w:lvlJc w:val="left"/>
      <w:pPr>
        <w:ind w:left="3264" w:hanging="308"/>
      </w:pPr>
      <w:rPr>
        <w:rFonts w:hint="default"/>
        <w:lang w:val="zh-CN" w:eastAsia="zh-CN" w:bidi="zh-CN"/>
      </w:rPr>
    </w:lvl>
    <w:lvl w:ilvl="5">
      <w:start w:val="0"/>
      <w:numFmt w:val="bullet"/>
      <w:lvlText w:val="•"/>
      <w:lvlJc w:val="left"/>
      <w:pPr>
        <w:ind w:left="4025" w:hanging="308"/>
      </w:pPr>
      <w:rPr>
        <w:rFonts w:hint="default"/>
        <w:lang w:val="zh-CN" w:eastAsia="zh-CN" w:bidi="zh-CN"/>
      </w:rPr>
    </w:lvl>
    <w:lvl w:ilvl="6">
      <w:start w:val="0"/>
      <w:numFmt w:val="bullet"/>
      <w:lvlText w:val="•"/>
      <w:lvlJc w:val="left"/>
      <w:pPr>
        <w:ind w:left="4787" w:hanging="308"/>
      </w:pPr>
      <w:rPr>
        <w:rFonts w:hint="default"/>
        <w:lang w:val="zh-CN" w:eastAsia="zh-CN" w:bidi="zh-CN"/>
      </w:rPr>
    </w:lvl>
    <w:lvl w:ilvl="7">
      <w:start w:val="0"/>
      <w:numFmt w:val="bullet"/>
      <w:lvlText w:val="•"/>
      <w:lvlJc w:val="left"/>
      <w:pPr>
        <w:ind w:left="5548" w:hanging="308"/>
      </w:pPr>
      <w:rPr>
        <w:rFonts w:hint="default"/>
        <w:lang w:val="zh-CN" w:eastAsia="zh-CN" w:bidi="zh-CN"/>
      </w:rPr>
    </w:lvl>
    <w:lvl w:ilvl="8">
      <w:start w:val="0"/>
      <w:numFmt w:val="bullet"/>
      <w:lvlText w:val="•"/>
      <w:lvlJc w:val="left"/>
      <w:pPr>
        <w:ind w:left="6309" w:hanging="308"/>
      </w:pPr>
      <w:rPr>
        <w:rFonts w:hint="default"/>
        <w:lang w:val="zh-CN" w:eastAsia="zh-CN" w:bidi="zh-CN"/>
      </w:rPr>
    </w:lvl>
  </w:abstractNum>
  <w:abstractNum w:abstractNumId="2">
    <w:nsid w:val="0518A8A8"/>
    <w:multiLevelType w:val="hybridMultilevel"/>
    <w:tmpl w:val="00000000"/>
    <w:lvl w:ilvl="0">
      <w:start w:val="1"/>
      <w:numFmt w:val="decimal"/>
      <w:lvlText w:val="%1."/>
      <w:lvlJc w:val="left"/>
      <w:pPr>
        <w:ind w:left="390" w:hanging="309"/>
        <w:jc w:val="right"/>
      </w:pPr>
      <w:rPr>
        <w:rFonts w:ascii="Times New Roman" w:eastAsia="Times New Roman" w:hAnsi="Times New Roman" w:cs="Times New Roman" w:hint="default"/>
        <w:color w:val="231F20"/>
        <w:spacing w:val="-30"/>
        <w:w w:val="100"/>
        <w:sz w:val="24"/>
        <w:szCs w:val="24"/>
        <w:lang w:val="zh-CN" w:eastAsia="zh-CN" w:bidi="zh-CN"/>
      </w:rPr>
    </w:lvl>
    <w:lvl w:ilvl="1">
      <w:start w:val="0"/>
      <w:numFmt w:val="bullet"/>
      <w:lvlText w:val="•"/>
      <w:lvlJc w:val="left"/>
      <w:pPr>
        <w:ind w:left="1143" w:hanging="309"/>
      </w:pPr>
      <w:rPr>
        <w:rFonts w:hint="default"/>
        <w:lang w:val="zh-CN" w:eastAsia="zh-CN" w:bidi="zh-CN"/>
      </w:rPr>
    </w:lvl>
    <w:lvl w:ilvl="2">
      <w:start w:val="0"/>
      <w:numFmt w:val="bullet"/>
      <w:lvlText w:val="•"/>
      <w:lvlJc w:val="left"/>
      <w:pPr>
        <w:ind w:left="1886" w:hanging="309"/>
      </w:pPr>
      <w:rPr>
        <w:rFonts w:hint="default"/>
        <w:lang w:val="zh-CN" w:eastAsia="zh-CN" w:bidi="zh-CN"/>
      </w:rPr>
    </w:lvl>
    <w:lvl w:ilvl="3">
      <w:start w:val="0"/>
      <w:numFmt w:val="bullet"/>
      <w:lvlText w:val="•"/>
      <w:lvlJc w:val="left"/>
      <w:pPr>
        <w:ind w:left="2629" w:hanging="309"/>
      </w:pPr>
      <w:rPr>
        <w:rFonts w:hint="default"/>
        <w:lang w:val="zh-CN" w:eastAsia="zh-CN" w:bidi="zh-CN"/>
      </w:rPr>
    </w:lvl>
    <w:lvl w:ilvl="4">
      <w:start w:val="0"/>
      <w:numFmt w:val="bullet"/>
      <w:lvlText w:val="•"/>
      <w:lvlJc w:val="left"/>
      <w:pPr>
        <w:ind w:left="3372" w:hanging="309"/>
      </w:pPr>
      <w:rPr>
        <w:rFonts w:hint="default"/>
        <w:lang w:val="zh-CN" w:eastAsia="zh-CN" w:bidi="zh-CN"/>
      </w:rPr>
    </w:lvl>
    <w:lvl w:ilvl="5">
      <w:start w:val="0"/>
      <w:numFmt w:val="bullet"/>
      <w:lvlText w:val="•"/>
      <w:lvlJc w:val="left"/>
      <w:pPr>
        <w:ind w:left="4115" w:hanging="309"/>
      </w:pPr>
      <w:rPr>
        <w:rFonts w:hint="default"/>
        <w:lang w:val="zh-CN" w:eastAsia="zh-CN" w:bidi="zh-CN"/>
      </w:rPr>
    </w:lvl>
    <w:lvl w:ilvl="6">
      <w:start w:val="0"/>
      <w:numFmt w:val="bullet"/>
      <w:lvlText w:val="•"/>
      <w:lvlJc w:val="left"/>
      <w:pPr>
        <w:ind w:left="4859" w:hanging="309"/>
      </w:pPr>
      <w:rPr>
        <w:rFonts w:hint="default"/>
        <w:lang w:val="zh-CN" w:eastAsia="zh-CN" w:bidi="zh-CN"/>
      </w:rPr>
    </w:lvl>
    <w:lvl w:ilvl="7">
      <w:start w:val="0"/>
      <w:numFmt w:val="bullet"/>
      <w:lvlText w:val="•"/>
      <w:lvlJc w:val="left"/>
      <w:pPr>
        <w:ind w:left="5602" w:hanging="309"/>
      </w:pPr>
      <w:rPr>
        <w:rFonts w:hint="default"/>
        <w:lang w:val="zh-CN" w:eastAsia="zh-CN" w:bidi="zh-CN"/>
      </w:rPr>
    </w:lvl>
    <w:lvl w:ilvl="8">
      <w:start w:val="0"/>
      <w:numFmt w:val="bullet"/>
      <w:lvlText w:val="•"/>
      <w:lvlJc w:val="left"/>
      <w:pPr>
        <w:ind w:left="6345" w:hanging="309"/>
      </w:pPr>
      <w:rPr>
        <w:rFonts w:hint="default"/>
        <w:lang w:val="zh-CN" w:eastAsia="zh-CN" w:bidi="zh-CN"/>
      </w:rPr>
    </w:lvl>
  </w:abstractNum>
  <w:abstractNum w:abstractNumId="3">
    <w:nsid w:val="0585AF2B"/>
    <w:multiLevelType w:val="hybridMultilevel"/>
    <w:tmpl w:val="00000000"/>
    <w:lvl w:ilvl="0">
      <w:start w:val="1"/>
      <w:numFmt w:val="decimal"/>
      <w:lvlText w:val="%1."/>
      <w:lvlJc w:val="left"/>
      <w:pPr>
        <w:ind w:left="1020" w:hanging="321"/>
        <w:jc w:val="right"/>
      </w:pPr>
      <w:rPr>
        <w:rFonts w:ascii="Arial" w:eastAsia="Arial" w:hAnsi="Arial" w:cs="Arial" w:hint="default"/>
        <w:color w:val="231F20"/>
        <w:spacing w:val="-14"/>
        <w:w w:val="100"/>
        <w:sz w:val="24"/>
        <w:szCs w:val="24"/>
        <w:lang w:val="zh-CN" w:eastAsia="zh-CN" w:bidi="zh-CN"/>
      </w:rPr>
    </w:lvl>
    <w:lvl w:ilvl="1">
      <w:start w:val="0"/>
      <w:numFmt w:val="bullet"/>
      <w:lvlText w:val="•"/>
      <w:lvlJc w:val="left"/>
      <w:pPr>
        <w:ind w:left="1701" w:hanging="321"/>
      </w:pPr>
      <w:rPr>
        <w:rFonts w:hint="default"/>
        <w:lang w:val="zh-CN" w:eastAsia="zh-CN" w:bidi="zh-CN"/>
      </w:rPr>
    </w:lvl>
    <w:lvl w:ilvl="2">
      <w:start w:val="0"/>
      <w:numFmt w:val="bullet"/>
      <w:lvlText w:val="•"/>
      <w:lvlJc w:val="left"/>
      <w:pPr>
        <w:ind w:left="2382" w:hanging="321"/>
      </w:pPr>
      <w:rPr>
        <w:rFonts w:hint="default"/>
        <w:lang w:val="zh-CN" w:eastAsia="zh-CN" w:bidi="zh-CN"/>
      </w:rPr>
    </w:lvl>
    <w:lvl w:ilvl="3">
      <w:start w:val="0"/>
      <w:numFmt w:val="bullet"/>
      <w:lvlText w:val="•"/>
      <w:lvlJc w:val="left"/>
      <w:pPr>
        <w:ind w:left="3063" w:hanging="321"/>
      </w:pPr>
      <w:rPr>
        <w:rFonts w:hint="default"/>
        <w:lang w:val="zh-CN" w:eastAsia="zh-CN" w:bidi="zh-CN"/>
      </w:rPr>
    </w:lvl>
    <w:lvl w:ilvl="4">
      <w:start w:val="0"/>
      <w:numFmt w:val="bullet"/>
      <w:lvlText w:val="•"/>
      <w:lvlJc w:val="left"/>
      <w:pPr>
        <w:ind w:left="3744" w:hanging="321"/>
      </w:pPr>
      <w:rPr>
        <w:rFonts w:hint="default"/>
        <w:lang w:val="zh-CN" w:eastAsia="zh-CN" w:bidi="zh-CN"/>
      </w:rPr>
    </w:lvl>
    <w:lvl w:ilvl="5">
      <w:start w:val="0"/>
      <w:numFmt w:val="bullet"/>
      <w:lvlText w:val="•"/>
      <w:lvlJc w:val="left"/>
      <w:pPr>
        <w:ind w:left="4425" w:hanging="321"/>
      </w:pPr>
      <w:rPr>
        <w:rFonts w:hint="default"/>
        <w:lang w:val="zh-CN" w:eastAsia="zh-CN" w:bidi="zh-CN"/>
      </w:rPr>
    </w:lvl>
    <w:lvl w:ilvl="6">
      <w:start w:val="0"/>
      <w:numFmt w:val="bullet"/>
      <w:lvlText w:val="•"/>
      <w:lvlJc w:val="left"/>
      <w:pPr>
        <w:ind w:left="5107" w:hanging="321"/>
      </w:pPr>
      <w:rPr>
        <w:rFonts w:hint="default"/>
        <w:lang w:val="zh-CN" w:eastAsia="zh-CN" w:bidi="zh-CN"/>
      </w:rPr>
    </w:lvl>
    <w:lvl w:ilvl="7">
      <w:start w:val="0"/>
      <w:numFmt w:val="bullet"/>
      <w:lvlText w:val="•"/>
      <w:lvlJc w:val="left"/>
      <w:pPr>
        <w:ind w:left="5788" w:hanging="321"/>
      </w:pPr>
      <w:rPr>
        <w:rFonts w:hint="default"/>
        <w:lang w:val="zh-CN" w:eastAsia="zh-CN" w:bidi="zh-CN"/>
      </w:rPr>
    </w:lvl>
    <w:lvl w:ilvl="8">
      <w:start w:val="0"/>
      <w:numFmt w:val="bullet"/>
      <w:lvlText w:val="•"/>
      <w:lvlJc w:val="left"/>
      <w:pPr>
        <w:ind w:left="6469" w:hanging="321"/>
      </w:pPr>
      <w:rPr>
        <w:rFonts w:hint="default"/>
        <w:lang w:val="zh-CN" w:eastAsia="zh-CN" w:bidi="zh-CN"/>
      </w:rPr>
    </w:lvl>
  </w:abstractNum>
  <w:abstractNum w:abstractNumId="4">
    <w:nsid w:val="0A216138"/>
    <w:multiLevelType w:val="hybridMultilevel"/>
    <w:tmpl w:val="00000000"/>
    <w:lvl w:ilvl="0">
      <w:start w:val="3"/>
      <w:numFmt w:val="decimal"/>
      <w:lvlText w:val="%1"/>
      <w:lvlJc w:val="left"/>
      <w:pPr>
        <w:ind w:left="577" w:hanging="467"/>
        <w:jc w:val="left"/>
      </w:pPr>
      <w:rPr>
        <w:rFonts w:hint="default"/>
        <w:lang w:val="zh-CN" w:eastAsia="zh-CN" w:bidi="zh-CN"/>
      </w:rPr>
    </w:lvl>
    <w:lvl w:ilvl="1">
      <w:start w:val="1"/>
      <w:numFmt w:val="decimal"/>
      <w:lvlText w:val="%1-%2"/>
      <w:lvlJc w:val="left"/>
      <w:pPr>
        <w:ind w:left="577" w:hanging="467"/>
        <w:jc w:val="left"/>
      </w:pPr>
      <w:rPr>
        <w:rFonts w:ascii="Times New Roman" w:eastAsia="Times New Roman" w:hAnsi="Times New Roman" w:cs="Times New Roman" w:hint="default"/>
        <w:color w:val="231F20"/>
        <w:w w:val="99"/>
        <w:sz w:val="20"/>
        <w:szCs w:val="20"/>
        <w:lang w:val="zh-CN" w:eastAsia="zh-CN" w:bidi="zh-CN"/>
      </w:rPr>
    </w:lvl>
    <w:lvl w:ilvl="2">
      <w:start w:val="0"/>
      <w:numFmt w:val="bullet"/>
      <w:lvlText w:val="•"/>
      <w:lvlJc w:val="left"/>
      <w:pPr>
        <w:ind w:left="1772" w:hanging="467"/>
      </w:pPr>
      <w:rPr>
        <w:rFonts w:hint="default"/>
        <w:lang w:val="zh-CN" w:eastAsia="zh-CN" w:bidi="zh-CN"/>
      </w:rPr>
    </w:lvl>
    <w:lvl w:ilvl="3">
      <w:start w:val="0"/>
      <w:numFmt w:val="bullet"/>
      <w:lvlText w:val="•"/>
      <w:lvlJc w:val="left"/>
      <w:pPr>
        <w:ind w:left="2368" w:hanging="467"/>
      </w:pPr>
      <w:rPr>
        <w:rFonts w:hint="default"/>
        <w:lang w:val="zh-CN" w:eastAsia="zh-CN" w:bidi="zh-CN"/>
      </w:rPr>
    </w:lvl>
    <w:lvl w:ilvl="4">
      <w:start w:val="0"/>
      <w:numFmt w:val="bullet"/>
      <w:lvlText w:val="•"/>
      <w:lvlJc w:val="left"/>
      <w:pPr>
        <w:ind w:left="2965" w:hanging="467"/>
      </w:pPr>
      <w:rPr>
        <w:rFonts w:hint="default"/>
        <w:lang w:val="zh-CN" w:eastAsia="zh-CN" w:bidi="zh-CN"/>
      </w:rPr>
    </w:lvl>
    <w:lvl w:ilvl="5">
      <w:start w:val="0"/>
      <w:numFmt w:val="bullet"/>
      <w:lvlText w:val="•"/>
      <w:lvlJc w:val="left"/>
      <w:pPr>
        <w:ind w:left="3561" w:hanging="467"/>
      </w:pPr>
      <w:rPr>
        <w:rFonts w:hint="default"/>
        <w:lang w:val="zh-CN" w:eastAsia="zh-CN" w:bidi="zh-CN"/>
      </w:rPr>
    </w:lvl>
    <w:lvl w:ilvl="6">
      <w:start w:val="0"/>
      <w:numFmt w:val="bullet"/>
      <w:lvlText w:val="•"/>
      <w:lvlJc w:val="left"/>
      <w:pPr>
        <w:ind w:left="4157" w:hanging="467"/>
      </w:pPr>
      <w:rPr>
        <w:rFonts w:hint="default"/>
        <w:lang w:val="zh-CN" w:eastAsia="zh-CN" w:bidi="zh-CN"/>
      </w:rPr>
    </w:lvl>
    <w:lvl w:ilvl="7">
      <w:start w:val="0"/>
      <w:numFmt w:val="bullet"/>
      <w:lvlText w:val="•"/>
      <w:lvlJc w:val="left"/>
      <w:pPr>
        <w:ind w:left="4754" w:hanging="467"/>
      </w:pPr>
      <w:rPr>
        <w:rFonts w:hint="default"/>
        <w:lang w:val="zh-CN" w:eastAsia="zh-CN" w:bidi="zh-CN"/>
      </w:rPr>
    </w:lvl>
    <w:lvl w:ilvl="8">
      <w:start w:val="0"/>
      <w:numFmt w:val="bullet"/>
      <w:lvlText w:val="•"/>
      <w:lvlJc w:val="left"/>
      <w:pPr>
        <w:ind w:left="5350" w:hanging="467"/>
      </w:pPr>
      <w:rPr>
        <w:rFonts w:hint="default"/>
        <w:lang w:val="zh-CN" w:eastAsia="zh-CN" w:bidi="zh-CN"/>
      </w:rPr>
    </w:lvl>
  </w:abstractNum>
  <w:abstractNum w:abstractNumId="5">
    <w:nsid w:val="0EBE33AF"/>
    <w:multiLevelType w:val="hybridMultilevel"/>
    <w:tmpl w:val="00000000"/>
    <w:lvl w:ilvl="0">
      <w:start w:val="2"/>
      <w:numFmt w:val="decimal"/>
      <w:lvlText w:val="%1"/>
      <w:lvlJc w:val="left"/>
      <w:pPr>
        <w:ind w:left="660" w:hanging="423"/>
        <w:jc w:val="left"/>
      </w:pPr>
      <w:rPr>
        <w:rFonts w:hint="default"/>
        <w:lang w:val="zh-CN" w:eastAsia="zh-CN" w:bidi="zh-CN"/>
      </w:rPr>
    </w:lvl>
    <w:lvl w:ilvl="1">
      <w:start w:val="1"/>
      <w:numFmt w:val="decimal"/>
      <w:lvlText w:val="%1.%2"/>
      <w:lvlJc w:val="left"/>
      <w:pPr>
        <w:ind w:left="660" w:hanging="423"/>
        <w:jc w:val="right"/>
      </w:pPr>
      <w:rPr>
        <w:rFonts w:ascii="Times New Roman" w:eastAsia="Times New Roman" w:hAnsi="Times New Roman" w:cs="Times New Roman" w:hint="default"/>
        <w:color w:val="231F20"/>
        <w:spacing w:val="-11"/>
        <w:w w:val="100"/>
        <w:sz w:val="24"/>
        <w:szCs w:val="24"/>
        <w:lang w:val="zh-CN" w:eastAsia="zh-CN" w:bidi="zh-CN"/>
      </w:rPr>
    </w:lvl>
    <w:lvl w:ilvl="2">
      <w:start w:val="1"/>
      <w:numFmt w:val="decimal"/>
      <w:lvlText w:val="%1.%2.%3"/>
      <w:lvlJc w:val="left"/>
      <w:pPr>
        <w:ind w:left="1320" w:hanging="606"/>
        <w:jc w:val="left"/>
      </w:pPr>
      <w:rPr>
        <w:rFonts w:ascii="Times New Roman" w:eastAsia="Times New Roman" w:hAnsi="Times New Roman" w:cs="Times New Roman" w:hint="default"/>
        <w:color w:val="231F20"/>
        <w:spacing w:val="-12"/>
        <w:w w:val="100"/>
        <w:sz w:val="24"/>
        <w:szCs w:val="24"/>
        <w:lang w:val="zh-CN" w:eastAsia="zh-CN" w:bidi="zh-CN"/>
      </w:rPr>
    </w:lvl>
    <w:lvl w:ilvl="3">
      <w:start w:val="0"/>
      <w:numFmt w:val="bullet"/>
      <w:lvlText w:val="•"/>
      <w:lvlJc w:val="left"/>
      <w:pPr>
        <w:ind w:left="1500" w:hanging="606"/>
      </w:pPr>
      <w:rPr>
        <w:rFonts w:hint="default"/>
        <w:lang w:val="zh-CN" w:eastAsia="zh-CN" w:bidi="zh-CN"/>
      </w:rPr>
    </w:lvl>
    <w:lvl w:ilvl="4">
      <w:start w:val="0"/>
      <w:numFmt w:val="bullet"/>
      <w:lvlText w:val="•"/>
      <w:lvlJc w:val="left"/>
      <w:pPr>
        <w:ind w:left="2404" w:hanging="606"/>
      </w:pPr>
      <w:rPr>
        <w:rFonts w:hint="default"/>
        <w:lang w:val="zh-CN" w:eastAsia="zh-CN" w:bidi="zh-CN"/>
      </w:rPr>
    </w:lvl>
    <w:lvl w:ilvl="5">
      <w:start w:val="0"/>
      <w:numFmt w:val="bullet"/>
      <w:lvlText w:val="•"/>
      <w:lvlJc w:val="left"/>
      <w:pPr>
        <w:ind w:left="3309" w:hanging="606"/>
      </w:pPr>
      <w:rPr>
        <w:rFonts w:hint="default"/>
        <w:lang w:val="zh-CN" w:eastAsia="zh-CN" w:bidi="zh-CN"/>
      </w:rPr>
    </w:lvl>
    <w:lvl w:ilvl="6">
      <w:start w:val="0"/>
      <w:numFmt w:val="bullet"/>
      <w:lvlText w:val="•"/>
      <w:lvlJc w:val="left"/>
      <w:pPr>
        <w:ind w:left="4213" w:hanging="606"/>
      </w:pPr>
      <w:rPr>
        <w:rFonts w:hint="default"/>
        <w:lang w:val="zh-CN" w:eastAsia="zh-CN" w:bidi="zh-CN"/>
      </w:rPr>
    </w:lvl>
    <w:lvl w:ilvl="7">
      <w:start w:val="0"/>
      <w:numFmt w:val="bullet"/>
      <w:lvlText w:val="•"/>
      <w:lvlJc w:val="left"/>
      <w:pPr>
        <w:ind w:left="5118" w:hanging="606"/>
      </w:pPr>
      <w:rPr>
        <w:rFonts w:hint="default"/>
        <w:lang w:val="zh-CN" w:eastAsia="zh-CN" w:bidi="zh-CN"/>
      </w:rPr>
    </w:lvl>
    <w:lvl w:ilvl="8">
      <w:start w:val="0"/>
      <w:numFmt w:val="bullet"/>
      <w:lvlText w:val="•"/>
      <w:lvlJc w:val="left"/>
      <w:pPr>
        <w:ind w:left="6022" w:hanging="606"/>
      </w:pPr>
      <w:rPr>
        <w:rFonts w:hint="default"/>
        <w:lang w:val="zh-CN" w:eastAsia="zh-CN" w:bidi="zh-CN"/>
      </w:rPr>
    </w:lvl>
  </w:abstractNum>
  <w:abstractNum w:abstractNumId="6">
    <w:nsid w:val="13AFF64E"/>
    <w:multiLevelType w:val="hybridMultilevel"/>
    <w:tmpl w:val="00000000"/>
    <w:lvl w:ilvl="0">
      <w:start w:val="1"/>
      <w:numFmt w:val="decimal"/>
      <w:lvlText w:val="%1."/>
      <w:lvlJc w:val="left"/>
      <w:pPr>
        <w:ind w:left="901" w:hanging="202"/>
        <w:jc w:val="right"/>
      </w:pPr>
      <w:rPr>
        <w:rFonts w:ascii="Arial" w:eastAsia="Arial" w:hAnsi="Arial" w:cs="Arial" w:hint="default"/>
        <w:color w:val="231F20"/>
        <w:spacing w:val="-60"/>
        <w:w w:val="100"/>
        <w:sz w:val="22"/>
        <w:szCs w:val="22"/>
        <w:lang w:val="zh-CN" w:eastAsia="zh-CN" w:bidi="zh-CN"/>
      </w:rPr>
    </w:lvl>
    <w:lvl w:ilvl="1">
      <w:start w:val="1"/>
      <w:numFmt w:val="decimal"/>
      <w:lvlText w:val="%2."/>
      <w:lvlJc w:val="left"/>
      <w:pPr>
        <w:ind w:left="1071" w:hanging="202"/>
        <w:jc w:val="right"/>
      </w:pPr>
      <w:rPr>
        <w:rFonts w:ascii="Arial" w:eastAsia="Arial" w:hAnsi="Arial" w:cs="Arial" w:hint="default"/>
        <w:color w:val="231F20"/>
        <w:spacing w:val="-1"/>
        <w:w w:val="100"/>
        <w:sz w:val="22"/>
        <w:szCs w:val="22"/>
        <w:lang w:val="zh-CN" w:eastAsia="zh-CN" w:bidi="zh-CN"/>
      </w:rPr>
    </w:lvl>
    <w:lvl w:ilvl="2">
      <w:start w:val="0"/>
      <w:numFmt w:val="bullet"/>
      <w:lvlText w:val="•"/>
      <w:lvlJc w:val="left"/>
      <w:pPr>
        <w:ind w:left="1830" w:hanging="202"/>
      </w:pPr>
      <w:rPr>
        <w:rFonts w:hint="default"/>
        <w:lang w:val="zh-CN" w:eastAsia="zh-CN" w:bidi="zh-CN"/>
      </w:rPr>
    </w:lvl>
    <w:lvl w:ilvl="3">
      <w:start w:val="0"/>
      <w:numFmt w:val="bullet"/>
      <w:lvlText w:val="•"/>
      <w:lvlJc w:val="left"/>
      <w:pPr>
        <w:ind w:left="2580" w:hanging="202"/>
      </w:pPr>
      <w:rPr>
        <w:rFonts w:hint="default"/>
        <w:lang w:val="zh-CN" w:eastAsia="zh-CN" w:bidi="zh-CN"/>
      </w:rPr>
    </w:lvl>
    <w:lvl w:ilvl="4">
      <w:start w:val="0"/>
      <w:numFmt w:val="bullet"/>
      <w:lvlText w:val="•"/>
      <w:lvlJc w:val="left"/>
      <w:pPr>
        <w:ind w:left="3330" w:hanging="202"/>
      </w:pPr>
      <w:rPr>
        <w:rFonts w:hint="default"/>
        <w:lang w:val="zh-CN" w:eastAsia="zh-CN" w:bidi="zh-CN"/>
      </w:rPr>
    </w:lvl>
    <w:lvl w:ilvl="5">
      <w:start w:val="0"/>
      <w:numFmt w:val="bullet"/>
      <w:lvlText w:val="•"/>
      <w:lvlJc w:val="left"/>
      <w:pPr>
        <w:ind w:left="4080" w:hanging="202"/>
      </w:pPr>
      <w:rPr>
        <w:rFonts w:hint="default"/>
        <w:lang w:val="zh-CN" w:eastAsia="zh-CN" w:bidi="zh-CN"/>
      </w:rPr>
    </w:lvl>
    <w:lvl w:ilvl="6">
      <w:start w:val="0"/>
      <w:numFmt w:val="bullet"/>
      <w:lvlText w:val="•"/>
      <w:lvlJc w:val="left"/>
      <w:pPr>
        <w:ind w:left="4830" w:hanging="202"/>
      </w:pPr>
      <w:rPr>
        <w:rFonts w:hint="default"/>
        <w:lang w:val="zh-CN" w:eastAsia="zh-CN" w:bidi="zh-CN"/>
      </w:rPr>
    </w:lvl>
    <w:lvl w:ilvl="7">
      <w:start w:val="0"/>
      <w:numFmt w:val="bullet"/>
      <w:lvlText w:val="•"/>
      <w:lvlJc w:val="left"/>
      <w:pPr>
        <w:ind w:left="5581" w:hanging="202"/>
      </w:pPr>
      <w:rPr>
        <w:rFonts w:hint="default"/>
        <w:lang w:val="zh-CN" w:eastAsia="zh-CN" w:bidi="zh-CN"/>
      </w:rPr>
    </w:lvl>
    <w:lvl w:ilvl="8">
      <w:start w:val="0"/>
      <w:numFmt w:val="bullet"/>
      <w:lvlText w:val="•"/>
      <w:lvlJc w:val="left"/>
      <w:pPr>
        <w:ind w:left="6331" w:hanging="202"/>
      </w:pPr>
      <w:rPr>
        <w:rFonts w:hint="default"/>
        <w:lang w:val="zh-CN" w:eastAsia="zh-CN" w:bidi="zh-CN"/>
      </w:rPr>
    </w:lvl>
  </w:abstractNum>
  <w:abstractNum w:abstractNumId="7">
    <w:nsid w:val="14D0D8C1"/>
    <w:multiLevelType w:val="hybridMultilevel"/>
    <w:tmpl w:val="00000000"/>
    <w:lvl w:ilvl="0">
      <w:start w:val="1"/>
      <w:numFmt w:val="decimal"/>
      <w:lvlText w:val="%1."/>
      <w:lvlJc w:val="left"/>
      <w:pPr>
        <w:ind w:left="1020" w:hanging="321"/>
        <w:jc w:val="right"/>
      </w:pPr>
      <w:rPr>
        <w:rFonts w:ascii="Arial" w:eastAsia="Arial" w:hAnsi="Arial" w:cs="Arial" w:hint="default"/>
        <w:color w:val="231F20"/>
        <w:spacing w:val="-14"/>
        <w:w w:val="100"/>
        <w:sz w:val="24"/>
        <w:szCs w:val="24"/>
        <w:lang w:val="zh-CN" w:eastAsia="zh-CN" w:bidi="zh-CN"/>
      </w:rPr>
    </w:lvl>
    <w:lvl w:ilvl="1">
      <w:start w:val="0"/>
      <w:numFmt w:val="bullet"/>
      <w:lvlText w:val="•"/>
      <w:lvlJc w:val="left"/>
      <w:pPr>
        <w:ind w:left="1701" w:hanging="321"/>
      </w:pPr>
      <w:rPr>
        <w:rFonts w:hint="default"/>
        <w:lang w:val="zh-CN" w:eastAsia="zh-CN" w:bidi="zh-CN"/>
      </w:rPr>
    </w:lvl>
    <w:lvl w:ilvl="2">
      <w:start w:val="0"/>
      <w:numFmt w:val="bullet"/>
      <w:lvlText w:val="•"/>
      <w:lvlJc w:val="left"/>
      <w:pPr>
        <w:ind w:left="2382" w:hanging="321"/>
      </w:pPr>
      <w:rPr>
        <w:rFonts w:hint="default"/>
        <w:lang w:val="zh-CN" w:eastAsia="zh-CN" w:bidi="zh-CN"/>
      </w:rPr>
    </w:lvl>
    <w:lvl w:ilvl="3">
      <w:start w:val="0"/>
      <w:numFmt w:val="bullet"/>
      <w:lvlText w:val="•"/>
      <w:lvlJc w:val="left"/>
      <w:pPr>
        <w:ind w:left="3063" w:hanging="321"/>
      </w:pPr>
      <w:rPr>
        <w:rFonts w:hint="default"/>
        <w:lang w:val="zh-CN" w:eastAsia="zh-CN" w:bidi="zh-CN"/>
      </w:rPr>
    </w:lvl>
    <w:lvl w:ilvl="4">
      <w:start w:val="0"/>
      <w:numFmt w:val="bullet"/>
      <w:lvlText w:val="•"/>
      <w:lvlJc w:val="left"/>
      <w:pPr>
        <w:ind w:left="3744" w:hanging="321"/>
      </w:pPr>
      <w:rPr>
        <w:rFonts w:hint="default"/>
        <w:lang w:val="zh-CN" w:eastAsia="zh-CN" w:bidi="zh-CN"/>
      </w:rPr>
    </w:lvl>
    <w:lvl w:ilvl="5">
      <w:start w:val="0"/>
      <w:numFmt w:val="bullet"/>
      <w:lvlText w:val="•"/>
      <w:lvlJc w:val="left"/>
      <w:pPr>
        <w:ind w:left="4425" w:hanging="321"/>
      </w:pPr>
      <w:rPr>
        <w:rFonts w:hint="default"/>
        <w:lang w:val="zh-CN" w:eastAsia="zh-CN" w:bidi="zh-CN"/>
      </w:rPr>
    </w:lvl>
    <w:lvl w:ilvl="6">
      <w:start w:val="0"/>
      <w:numFmt w:val="bullet"/>
      <w:lvlText w:val="•"/>
      <w:lvlJc w:val="left"/>
      <w:pPr>
        <w:ind w:left="5107" w:hanging="321"/>
      </w:pPr>
      <w:rPr>
        <w:rFonts w:hint="default"/>
        <w:lang w:val="zh-CN" w:eastAsia="zh-CN" w:bidi="zh-CN"/>
      </w:rPr>
    </w:lvl>
    <w:lvl w:ilvl="7">
      <w:start w:val="0"/>
      <w:numFmt w:val="bullet"/>
      <w:lvlText w:val="•"/>
      <w:lvlJc w:val="left"/>
      <w:pPr>
        <w:ind w:left="5788" w:hanging="321"/>
      </w:pPr>
      <w:rPr>
        <w:rFonts w:hint="default"/>
        <w:lang w:val="zh-CN" w:eastAsia="zh-CN" w:bidi="zh-CN"/>
      </w:rPr>
    </w:lvl>
    <w:lvl w:ilvl="8">
      <w:start w:val="0"/>
      <w:numFmt w:val="bullet"/>
      <w:lvlText w:val="•"/>
      <w:lvlJc w:val="left"/>
      <w:pPr>
        <w:ind w:left="6469" w:hanging="321"/>
      </w:pPr>
      <w:rPr>
        <w:rFonts w:hint="default"/>
        <w:lang w:val="zh-CN" w:eastAsia="zh-CN" w:bidi="zh-CN"/>
      </w:rPr>
    </w:lvl>
  </w:abstractNum>
  <w:abstractNum w:abstractNumId="8">
    <w:nsid w:val="1586DC95"/>
    <w:multiLevelType w:val="hybridMultilevel"/>
    <w:tmpl w:val="00000000"/>
    <w:lvl w:ilvl="0">
      <w:start w:val="4"/>
      <w:numFmt w:val="decimal"/>
      <w:lvlText w:val="%1"/>
      <w:lvlJc w:val="left"/>
      <w:pPr>
        <w:ind w:left="810" w:hanging="420"/>
        <w:jc w:val="left"/>
      </w:pPr>
      <w:rPr>
        <w:rFonts w:hint="default"/>
        <w:lang w:val="zh-CN" w:eastAsia="zh-CN" w:bidi="zh-CN"/>
      </w:rPr>
    </w:lvl>
    <w:lvl w:ilvl="1">
      <w:start w:val="1"/>
      <w:numFmt w:val="decimal"/>
      <w:lvlText w:val="%1.%2"/>
      <w:lvlJc w:val="left"/>
      <w:pPr>
        <w:ind w:left="810" w:hanging="420"/>
        <w:jc w:val="left"/>
      </w:pPr>
      <w:rPr>
        <w:rFonts w:ascii="Times New Roman" w:eastAsia="Times New Roman" w:hAnsi="Times New Roman" w:cs="Times New Roman" w:hint="default"/>
        <w:color w:val="231F20"/>
        <w:w w:val="100"/>
        <w:sz w:val="24"/>
        <w:szCs w:val="24"/>
        <w:lang w:val="zh-CN" w:eastAsia="zh-CN" w:bidi="zh-CN"/>
      </w:rPr>
    </w:lvl>
    <w:lvl w:ilvl="2">
      <w:start w:val="1"/>
      <w:numFmt w:val="decimal"/>
      <w:lvlText w:val="%1.%2.%3"/>
      <w:lvlJc w:val="left"/>
      <w:pPr>
        <w:ind w:left="1489" w:hanging="606"/>
        <w:jc w:val="left"/>
      </w:pPr>
      <w:rPr>
        <w:rFonts w:ascii="Times New Roman" w:eastAsia="Times New Roman" w:hAnsi="Times New Roman" w:cs="Times New Roman" w:hint="default"/>
        <w:color w:val="231F20"/>
        <w:spacing w:val="-11"/>
        <w:w w:val="100"/>
        <w:sz w:val="24"/>
        <w:szCs w:val="24"/>
        <w:lang w:val="zh-CN" w:eastAsia="zh-CN" w:bidi="zh-CN"/>
      </w:rPr>
    </w:lvl>
    <w:lvl w:ilvl="3">
      <w:start w:val="0"/>
      <w:numFmt w:val="bullet"/>
      <w:lvlText w:val="•"/>
      <w:lvlJc w:val="left"/>
      <w:pPr>
        <w:ind w:left="2891" w:hanging="606"/>
      </w:pPr>
      <w:rPr>
        <w:rFonts w:hint="default"/>
        <w:lang w:val="zh-CN" w:eastAsia="zh-CN" w:bidi="zh-CN"/>
      </w:rPr>
    </w:lvl>
    <w:lvl w:ilvl="4">
      <w:start w:val="0"/>
      <w:numFmt w:val="bullet"/>
      <w:lvlText w:val="•"/>
      <w:lvlJc w:val="left"/>
      <w:pPr>
        <w:ind w:left="3597" w:hanging="606"/>
      </w:pPr>
      <w:rPr>
        <w:rFonts w:hint="default"/>
        <w:lang w:val="zh-CN" w:eastAsia="zh-CN" w:bidi="zh-CN"/>
      </w:rPr>
    </w:lvl>
    <w:lvl w:ilvl="5">
      <w:start w:val="0"/>
      <w:numFmt w:val="bullet"/>
      <w:lvlText w:val="•"/>
      <w:lvlJc w:val="left"/>
      <w:pPr>
        <w:ind w:left="4302" w:hanging="606"/>
      </w:pPr>
      <w:rPr>
        <w:rFonts w:hint="default"/>
        <w:lang w:val="zh-CN" w:eastAsia="zh-CN" w:bidi="zh-CN"/>
      </w:rPr>
    </w:lvl>
    <w:lvl w:ilvl="6">
      <w:start w:val="0"/>
      <w:numFmt w:val="bullet"/>
      <w:lvlText w:val="•"/>
      <w:lvlJc w:val="left"/>
      <w:pPr>
        <w:ind w:left="5008" w:hanging="606"/>
      </w:pPr>
      <w:rPr>
        <w:rFonts w:hint="default"/>
        <w:lang w:val="zh-CN" w:eastAsia="zh-CN" w:bidi="zh-CN"/>
      </w:rPr>
    </w:lvl>
    <w:lvl w:ilvl="7">
      <w:start w:val="0"/>
      <w:numFmt w:val="bullet"/>
      <w:lvlText w:val="•"/>
      <w:lvlJc w:val="left"/>
      <w:pPr>
        <w:ind w:left="5714" w:hanging="606"/>
      </w:pPr>
      <w:rPr>
        <w:rFonts w:hint="default"/>
        <w:lang w:val="zh-CN" w:eastAsia="zh-CN" w:bidi="zh-CN"/>
      </w:rPr>
    </w:lvl>
    <w:lvl w:ilvl="8">
      <w:start w:val="0"/>
      <w:numFmt w:val="bullet"/>
      <w:lvlText w:val="•"/>
      <w:lvlJc w:val="left"/>
      <w:pPr>
        <w:ind w:left="6420" w:hanging="606"/>
      </w:pPr>
      <w:rPr>
        <w:rFonts w:hint="default"/>
        <w:lang w:val="zh-CN" w:eastAsia="zh-CN" w:bidi="zh-CN"/>
      </w:rPr>
    </w:lvl>
  </w:abstractNum>
  <w:abstractNum w:abstractNumId="9">
    <w:nsid w:val="159BEF52"/>
    <w:multiLevelType w:val="hybridMultilevel"/>
    <w:tmpl w:val="00000000"/>
    <w:lvl w:ilvl="0">
      <w:start w:val="6"/>
      <w:numFmt w:val="decimal"/>
      <w:lvlText w:val="%1"/>
      <w:lvlJc w:val="left"/>
      <w:pPr>
        <w:ind w:left="810" w:hanging="420"/>
        <w:jc w:val="left"/>
      </w:pPr>
      <w:rPr>
        <w:rFonts w:hint="default"/>
        <w:lang w:val="zh-CN" w:eastAsia="zh-CN" w:bidi="zh-CN"/>
      </w:rPr>
    </w:lvl>
    <w:lvl w:ilvl="1">
      <w:start w:val="1"/>
      <w:numFmt w:val="decimal"/>
      <w:lvlText w:val="%1.%2"/>
      <w:lvlJc w:val="left"/>
      <w:pPr>
        <w:ind w:left="810" w:hanging="420"/>
        <w:jc w:val="right"/>
      </w:pPr>
      <w:rPr>
        <w:rFonts w:ascii="Times New Roman" w:eastAsia="Times New Roman" w:hAnsi="Times New Roman" w:cs="Times New Roman" w:hint="default"/>
        <w:color w:val="231F20"/>
        <w:w w:val="100"/>
        <w:sz w:val="24"/>
        <w:szCs w:val="24"/>
        <w:lang w:val="zh-CN" w:eastAsia="zh-CN" w:bidi="zh-CN"/>
      </w:rPr>
    </w:lvl>
    <w:lvl w:ilvl="2">
      <w:start w:val="1"/>
      <w:numFmt w:val="decimal"/>
      <w:lvlText w:val="%1.%2.%3"/>
      <w:lvlJc w:val="left"/>
      <w:pPr>
        <w:ind w:left="1450" w:hanging="600"/>
        <w:jc w:val="right"/>
      </w:pPr>
      <w:rPr>
        <w:rFonts w:ascii="Times New Roman" w:eastAsia="Times New Roman" w:hAnsi="Times New Roman" w:cs="Times New Roman" w:hint="default"/>
        <w:color w:val="231F20"/>
        <w:w w:val="100"/>
        <w:sz w:val="24"/>
        <w:szCs w:val="24"/>
        <w:lang w:val="zh-CN" w:eastAsia="zh-CN" w:bidi="zh-CN"/>
      </w:rPr>
    </w:lvl>
    <w:lvl w:ilvl="3">
      <w:start w:val="0"/>
      <w:numFmt w:val="bullet"/>
      <w:lvlText w:val="●"/>
      <w:lvlJc w:val="left"/>
      <w:pPr>
        <w:ind w:left="390" w:hanging="183"/>
      </w:pPr>
      <w:rPr>
        <w:rFonts w:ascii="宋体" w:eastAsia="宋体" w:hAnsi="宋体" w:cs="宋体" w:hint="default"/>
        <w:color w:val="231F20"/>
        <w:w w:val="100"/>
        <w:position w:val="4"/>
        <w:sz w:val="12"/>
        <w:szCs w:val="12"/>
        <w:lang w:val="zh-CN" w:eastAsia="zh-CN" w:bidi="zh-CN"/>
      </w:rPr>
    </w:lvl>
    <w:lvl w:ilvl="4">
      <w:start w:val="0"/>
      <w:numFmt w:val="bullet"/>
      <w:lvlText w:val="•"/>
      <w:lvlJc w:val="left"/>
      <w:pPr>
        <w:ind w:left="2370" w:hanging="183"/>
      </w:pPr>
      <w:rPr>
        <w:rFonts w:hint="default"/>
        <w:lang w:val="zh-CN" w:eastAsia="zh-CN" w:bidi="zh-CN"/>
      </w:rPr>
    </w:lvl>
    <w:lvl w:ilvl="5">
      <w:start w:val="0"/>
      <w:numFmt w:val="bullet"/>
      <w:lvlText w:val="•"/>
      <w:lvlJc w:val="left"/>
      <w:pPr>
        <w:ind w:left="3280" w:hanging="183"/>
      </w:pPr>
      <w:rPr>
        <w:rFonts w:hint="default"/>
        <w:lang w:val="zh-CN" w:eastAsia="zh-CN" w:bidi="zh-CN"/>
      </w:rPr>
    </w:lvl>
    <w:lvl w:ilvl="6">
      <w:start w:val="0"/>
      <w:numFmt w:val="bullet"/>
      <w:lvlText w:val="•"/>
      <w:lvlJc w:val="left"/>
      <w:pPr>
        <w:ind w:left="4190" w:hanging="183"/>
      </w:pPr>
      <w:rPr>
        <w:rFonts w:hint="default"/>
        <w:lang w:val="zh-CN" w:eastAsia="zh-CN" w:bidi="zh-CN"/>
      </w:rPr>
    </w:lvl>
    <w:lvl w:ilvl="7">
      <w:start w:val="0"/>
      <w:numFmt w:val="bullet"/>
      <w:lvlText w:val="•"/>
      <w:lvlJc w:val="left"/>
      <w:pPr>
        <w:ind w:left="5100" w:hanging="183"/>
      </w:pPr>
      <w:rPr>
        <w:rFonts w:hint="default"/>
        <w:lang w:val="zh-CN" w:eastAsia="zh-CN" w:bidi="zh-CN"/>
      </w:rPr>
    </w:lvl>
    <w:lvl w:ilvl="8">
      <w:start w:val="0"/>
      <w:numFmt w:val="bullet"/>
      <w:lvlText w:val="•"/>
      <w:lvlJc w:val="left"/>
      <w:pPr>
        <w:ind w:left="6011" w:hanging="183"/>
      </w:pPr>
      <w:rPr>
        <w:rFonts w:hint="default"/>
        <w:lang w:val="zh-CN" w:eastAsia="zh-CN" w:bidi="zh-CN"/>
      </w:rPr>
    </w:lvl>
  </w:abstractNum>
  <w:abstractNum w:abstractNumId="10">
    <w:nsid w:val="1EEAD8C9"/>
    <w:multiLevelType w:val="hybridMultilevel"/>
    <w:tmpl w:val="00000000"/>
    <w:lvl w:ilvl="0">
      <w:start w:val="2"/>
      <w:numFmt w:val="decimal"/>
      <w:lvlText w:val="（%1）"/>
      <w:lvlJc w:val="left"/>
      <w:pPr>
        <w:ind w:left="220" w:hanging="601"/>
        <w:jc w:val="left"/>
      </w:pPr>
      <w:rPr>
        <w:rFonts w:ascii="宋体" w:eastAsia="宋体" w:hAnsi="宋体" w:cs="宋体" w:hint="default"/>
        <w:color w:val="231F20"/>
        <w:spacing w:val="-120"/>
        <w:w w:val="100"/>
        <w:sz w:val="22"/>
        <w:szCs w:val="22"/>
        <w:lang w:val="zh-CN" w:eastAsia="zh-CN" w:bidi="zh-CN"/>
      </w:rPr>
    </w:lvl>
    <w:lvl w:ilvl="1">
      <w:start w:val="0"/>
      <w:numFmt w:val="bullet"/>
      <w:lvlText w:val="●"/>
      <w:lvlJc w:val="left"/>
      <w:pPr>
        <w:ind w:left="390" w:hanging="183"/>
      </w:pPr>
      <w:rPr>
        <w:rFonts w:ascii="宋体" w:eastAsia="宋体" w:hAnsi="宋体" w:cs="宋体" w:hint="default"/>
        <w:color w:val="231F20"/>
        <w:w w:val="100"/>
        <w:position w:val="4"/>
        <w:sz w:val="12"/>
        <w:szCs w:val="12"/>
        <w:lang w:val="zh-CN" w:eastAsia="zh-CN" w:bidi="zh-CN"/>
      </w:rPr>
    </w:lvl>
    <w:lvl w:ilvl="2">
      <w:start w:val="0"/>
      <w:numFmt w:val="bullet"/>
      <w:lvlText w:val="•"/>
      <w:lvlJc w:val="left"/>
      <w:pPr>
        <w:ind w:left="1225" w:hanging="183"/>
      </w:pPr>
      <w:rPr>
        <w:rFonts w:hint="default"/>
        <w:lang w:val="zh-CN" w:eastAsia="zh-CN" w:bidi="zh-CN"/>
      </w:rPr>
    </w:lvl>
    <w:lvl w:ilvl="3">
      <w:start w:val="0"/>
      <w:numFmt w:val="bullet"/>
      <w:lvlText w:val="•"/>
      <w:lvlJc w:val="left"/>
      <w:pPr>
        <w:ind w:left="2051" w:hanging="183"/>
      </w:pPr>
      <w:rPr>
        <w:rFonts w:hint="default"/>
        <w:lang w:val="zh-CN" w:eastAsia="zh-CN" w:bidi="zh-CN"/>
      </w:rPr>
    </w:lvl>
    <w:lvl w:ilvl="4">
      <w:start w:val="0"/>
      <w:numFmt w:val="bullet"/>
      <w:lvlText w:val="•"/>
      <w:lvlJc w:val="left"/>
      <w:pPr>
        <w:ind w:left="2877" w:hanging="183"/>
      </w:pPr>
      <w:rPr>
        <w:rFonts w:hint="default"/>
        <w:lang w:val="zh-CN" w:eastAsia="zh-CN" w:bidi="zh-CN"/>
      </w:rPr>
    </w:lvl>
    <w:lvl w:ilvl="5">
      <w:start w:val="0"/>
      <w:numFmt w:val="bullet"/>
      <w:lvlText w:val="•"/>
      <w:lvlJc w:val="left"/>
      <w:pPr>
        <w:ind w:left="3702" w:hanging="183"/>
      </w:pPr>
      <w:rPr>
        <w:rFonts w:hint="default"/>
        <w:lang w:val="zh-CN" w:eastAsia="zh-CN" w:bidi="zh-CN"/>
      </w:rPr>
    </w:lvl>
    <w:lvl w:ilvl="6">
      <w:start w:val="0"/>
      <w:numFmt w:val="bullet"/>
      <w:lvlText w:val="•"/>
      <w:lvlJc w:val="left"/>
      <w:pPr>
        <w:ind w:left="4528" w:hanging="183"/>
      </w:pPr>
      <w:rPr>
        <w:rFonts w:hint="default"/>
        <w:lang w:val="zh-CN" w:eastAsia="zh-CN" w:bidi="zh-CN"/>
      </w:rPr>
    </w:lvl>
    <w:lvl w:ilvl="7">
      <w:start w:val="0"/>
      <w:numFmt w:val="bullet"/>
      <w:lvlText w:val="•"/>
      <w:lvlJc w:val="left"/>
      <w:pPr>
        <w:ind w:left="5354" w:hanging="183"/>
      </w:pPr>
      <w:rPr>
        <w:rFonts w:hint="default"/>
        <w:lang w:val="zh-CN" w:eastAsia="zh-CN" w:bidi="zh-CN"/>
      </w:rPr>
    </w:lvl>
    <w:lvl w:ilvl="8">
      <w:start w:val="0"/>
      <w:numFmt w:val="bullet"/>
      <w:lvlText w:val="•"/>
      <w:lvlJc w:val="left"/>
      <w:pPr>
        <w:ind w:left="6180" w:hanging="183"/>
      </w:pPr>
      <w:rPr>
        <w:rFonts w:hint="default"/>
        <w:lang w:val="zh-CN" w:eastAsia="zh-CN" w:bidi="zh-CN"/>
      </w:rPr>
    </w:lvl>
  </w:abstractNum>
  <w:abstractNum w:abstractNumId="11">
    <w:nsid w:val="2518311C"/>
    <w:multiLevelType w:val="hybridMultilevel"/>
    <w:tmpl w:val="00000000"/>
    <w:lvl w:ilvl="0">
      <w:start w:val="4"/>
      <w:numFmt w:val="decimal"/>
      <w:lvlText w:val="%1"/>
      <w:lvlJc w:val="left"/>
      <w:pPr>
        <w:ind w:left="577" w:hanging="467"/>
        <w:jc w:val="left"/>
      </w:pPr>
      <w:rPr>
        <w:rFonts w:hint="default"/>
        <w:lang w:val="zh-CN" w:eastAsia="zh-CN" w:bidi="zh-CN"/>
      </w:rPr>
    </w:lvl>
    <w:lvl w:ilvl="1">
      <w:start w:val="2"/>
      <w:numFmt w:val="decimal"/>
      <w:lvlText w:val="%1-%2"/>
      <w:lvlJc w:val="left"/>
      <w:pPr>
        <w:ind w:left="577" w:hanging="467"/>
        <w:jc w:val="left"/>
      </w:pPr>
      <w:rPr>
        <w:rFonts w:ascii="Times New Roman" w:eastAsia="Times New Roman" w:hAnsi="Times New Roman" w:cs="Times New Roman" w:hint="default"/>
        <w:color w:val="231F20"/>
        <w:w w:val="99"/>
        <w:sz w:val="20"/>
        <w:szCs w:val="20"/>
        <w:lang w:val="zh-CN" w:eastAsia="zh-CN" w:bidi="zh-CN"/>
      </w:rPr>
    </w:lvl>
    <w:lvl w:ilvl="2">
      <w:start w:val="0"/>
      <w:numFmt w:val="bullet"/>
      <w:lvlText w:val="•"/>
      <w:lvlJc w:val="left"/>
      <w:pPr>
        <w:ind w:left="1772" w:hanging="467"/>
      </w:pPr>
      <w:rPr>
        <w:rFonts w:hint="default"/>
        <w:lang w:val="zh-CN" w:eastAsia="zh-CN" w:bidi="zh-CN"/>
      </w:rPr>
    </w:lvl>
    <w:lvl w:ilvl="3">
      <w:start w:val="0"/>
      <w:numFmt w:val="bullet"/>
      <w:lvlText w:val="•"/>
      <w:lvlJc w:val="left"/>
      <w:pPr>
        <w:ind w:left="2368" w:hanging="467"/>
      </w:pPr>
      <w:rPr>
        <w:rFonts w:hint="default"/>
        <w:lang w:val="zh-CN" w:eastAsia="zh-CN" w:bidi="zh-CN"/>
      </w:rPr>
    </w:lvl>
    <w:lvl w:ilvl="4">
      <w:start w:val="0"/>
      <w:numFmt w:val="bullet"/>
      <w:lvlText w:val="•"/>
      <w:lvlJc w:val="left"/>
      <w:pPr>
        <w:ind w:left="2965" w:hanging="467"/>
      </w:pPr>
      <w:rPr>
        <w:rFonts w:hint="default"/>
        <w:lang w:val="zh-CN" w:eastAsia="zh-CN" w:bidi="zh-CN"/>
      </w:rPr>
    </w:lvl>
    <w:lvl w:ilvl="5">
      <w:start w:val="0"/>
      <w:numFmt w:val="bullet"/>
      <w:lvlText w:val="•"/>
      <w:lvlJc w:val="left"/>
      <w:pPr>
        <w:ind w:left="3561" w:hanging="467"/>
      </w:pPr>
      <w:rPr>
        <w:rFonts w:hint="default"/>
        <w:lang w:val="zh-CN" w:eastAsia="zh-CN" w:bidi="zh-CN"/>
      </w:rPr>
    </w:lvl>
    <w:lvl w:ilvl="6">
      <w:start w:val="0"/>
      <w:numFmt w:val="bullet"/>
      <w:lvlText w:val="•"/>
      <w:lvlJc w:val="left"/>
      <w:pPr>
        <w:ind w:left="4157" w:hanging="467"/>
      </w:pPr>
      <w:rPr>
        <w:rFonts w:hint="default"/>
        <w:lang w:val="zh-CN" w:eastAsia="zh-CN" w:bidi="zh-CN"/>
      </w:rPr>
    </w:lvl>
    <w:lvl w:ilvl="7">
      <w:start w:val="0"/>
      <w:numFmt w:val="bullet"/>
      <w:lvlText w:val="•"/>
      <w:lvlJc w:val="left"/>
      <w:pPr>
        <w:ind w:left="4754" w:hanging="467"/>
      </w:pPr>
      <w:rPr>
        <w:rFonts w:hint="default"/>
        <w:lang w:val="zh-CN" w:eastAsia="zh-CN" w:bidi="zh-CN"/>
      </w:rPr>
    </w:lvl>
    <w:lvl w:ilvl="8">
      <w:start w:val="0"/>
      <w:numFmt w:val="bullet"/>
      <w:lvlText w:val="•"/>
      <w:lvlJc w:val="left"/>
      <w:pPr>
        <w:ind w:left="5350" w:hanging="467"/>
      </w:pPr>
      <w:rPr>
        <w:rFonts w:hint="default"/>
        <w:lang w:val="zh-CN" w:eastAsia="zh-CN" w:bidi="zh-CN"/>
      </w:rPr>
    </w:lvl>
  </w:abstractNum>
  <w:abstractNum w:abstractNumId="12">
    <w:nsid w:val="26C64173"/>
    <w:multiLevelType w:val="hybridMultilevel"/>
    <w:tmpl w:val="00000000"/>
    <w:lvl w:ilvl="0">
      <w:start w:val="1"/>
      <w:numFmt w:val="decimal"/>
      <w:lvlText w:val="（%1）"/>
      <w:lvlJc w:val="left"/>
      <w:pPr>
        <w:ind w:left="390" w:hanging="601"/>
        <w:jc w:val="left"/>
      </w:pPr>
      <w:rPr>
        <w:rFonts w:ascii="宋体" w:eastAsia="宋体" w:hAnsi="宋体" w:cs="宋体" w:hint="default"/>
        <w:color w:val="231F20"/>
        <w:w w:val="100"/>
        <w:sz w:val="22"/>
        <w:szCs w:val="22"/>
        <w:lang w:val="zh-CN" w:eastAsia="zh-CN" w:bidi="zh-CN"/>
      </w:rPr>
    </w:lvl>
    <w:lvl w:ilvl="1">
      <w:start w:val="0"/>
      <w:numFmt w:val="bullet"/>
      <w:lvlText w:val="•"/>
      <w:lvlJc w:val="left"/>
      <w:pPr>
        <w:ind w:left="1143" w:hanging="601"/>
      </w:pPr>
      <w:rPr>
        <w:rFonts w:hint="default"/>
        <w:lang w:val="zh-CN" w:eastAsia="zh-CN" w:bidi="zh-CN"/>
      </w:rPr>
    </w:lvl>
    <w:lvl w:ilvl="2">
      <w:start w:val="0"/>
      <w:numFmt w:val="bullet"/>
      <w:lvlText w:val="•"/>
      <w:lvlJc w:val="left"/>
      <w:pPr>
        <w:ind w:left="1886" w:hanging="601"/>
      </w:pPr>
      <w:rPr>
        <w:rFonts w:hint="default"/>
        <w:lang w:val="zh-CN" w:eastAsia="zh-CN" w:bidi="zh-CN"/>
      </w:rPr>
    </w:lvl>
    <w:lvl w:ilvl="3">
      <w:start w:val="0"/>
      <w:numFmt w:val="bullet"/>
      <w:lvlText w:val="•"/>
      <w:lvlJc w:val="left"/>
      <w:pPr>
        <w:ind w:left="2629" w:hanging="601"/>
      </w:pPr>
      <w:rPr>
        <w:rFonts w:hint="default"/>
        <w:lang w:val="zh-CN" w:eastAsia="zh-CN" w:bidi="zh-CN"/>
      </w:rPr>
    </w:lvl>
    <w:lvl w:ilvl="4">
      <w:start w:val="0"/>
      <w:numFmt w:val="bullet"/>
      <w:lvlText w:val="•"/>
      <w:lvlJc w:val="left"/>
      <w:pPr>
        <w:ind w:left="3372" w:hanging="601"/>
      </w:pPr>
      <w:rPr>
        <w:rFonts w:hint="default"/>
        <w:lang w:val="zh-CN" w:eastAsia="zh-CN" w:bidi="zh-CN"/>
      </w:rPr>
    </w:lvl>
    <w:lvl w:ilvl="5">
      <w:start w:val="0"/>
      <w:numFmt w:val="bullet"/>
      <w:lvlText w:val="•"/>
      <w:lvlJc w:val="left"/>
      <w:pPr>
        <w:ind w:left="4115" w:hanging="601"/>
      </w:pPr>
      <w:rPr>
        <w:rFonts w:hint="default"/>
        <w:lang w:val="zh-CN" w:eastAsia="zh-CN" w:bidi="zh-CN"/>
      </w:rPr>
    </w:lvl>
    <w:lvl w:ilvl="6">
      <w:start w:val="0"/>
      <w:numFmt w:val="bullet"/>
      <w:lvlText w:val="•"/>
      <w:lvlJc w:val="left"/>
      <w:pPr>
        <w:ind w:left="4859" w:hanging="601"/>
      </w:pPr>
      <w:rPr>
        <w:rFonts w:hint="default"/>
        <w:lang w:val="zh-CN" w:eastAsia="zh-CN" w:bidi="zh-CN"/>
      </w:rPr>
    </w:lvl>
    <w:lvl w:ilvl="7">
      <w:start w:val="0"/>
      <w:numFmt w:val="bullet"/>
      <w:lvlText w:val="•"/>
      <w:lvlJc w:val="left"/>
      <w:pPr>
        <w:ind w:left="5602" w:hanging="601"/>
      </w:pPr>
      <w:rPr>
        <w:rFonts w:hint="default"/>
        <w:lang w:val="zh-CN" w:eastAsia="zh-CN" w:bidi="zh-CN"/>
      </w:rPr>
    </w:lvl>
    <w:lvl w:ilvl="8">
      <w:start w:val="0"/>
      <w:numFmt w:val="bullet"/>
      <w:lvlText w:val="•"/>
      <w:lvlJc w:val="left"/>
      <w:pPr>
        <w:ind w:left="6345" w:hanging="601"/>
      </w:pPr>
      <w:rPr>
        <w:rFonts w:hint="default"/>
        <w:lang w:val="zh-CN" w:eastAsia="zh-CN" w:bidi="zh-CN"/>
      </w:rPr>
    </w:lvl>
  </w:abstractNum>
  <w:abstractNum w:abstractNumId="13">
    <w:nsid w:val="2EDC73A9"/>
    <w:multiLevelType w:val="hybridMultilevel"/>
    <w:tmpl w:val="00000000"/>
    <w:lvl w:ilvl="0">
      <w:start w:val="1"/>
      <w:numFmt w:val="decimal"/>
      <w:lvlText w:val="%1."/>
      <w:lvlJc w:val="left"/>
      <w:pPr>
        <w:ind w:left="901" w:hanging="202"/>
        <w:jc w:val="right"/>
      </w:pPr>
      <w:rPr>
        <w:rFonts w:ascii="Arial" w:eastAsia="Arial" w:hAnsi="Arial" w:cs="Arial" w:hint="default"/>
        <w:color w:val="231F20"/>
        <w:spacing w:val="-1"/>
        <w:w w:val="100"/>
        <w:sz w:val="22"/>
        <w:szCs w:val="22"/>
        <w:lang w:val="zh-CN" w:eastAsia="zh-CN" w:bidi="zh-CN"/>
      </w:rPr>
    </w:lvl>
    <w:lvl w:ilvl="1">
      <w:start w:val="0"/>
      <w:numFmt w:val="bullet"/>
      <w:lvlText w:val="•"/>
      <w:lvlJc w:val="left"/>
      <w:pPr>
        <w:ind w:left="1593" w:hanging="202"/>
      </w:pPr>
      <w:rPr>
        <w:rFonts w:hint="default"/>
        <w:lang w:val="zh-CN" w:eastAsia="zh-CN" w:bidi="zh-CN"/>
      </w:rPr>
    </w:lvl>
    <w:lvl w:ilvl="2">
      <w:start w:val="0"/>
      <w:numFmt w:val="bullet"/>
      <w:lvlText w:val="•"/>
      <w:lvlJc w:val="left"/>
      <w:pPr>
        <w:ind w:left="2286" w:hanging="202"/>
      </w:pPr>
      <w:rPr>
        <w:rFonts w:hint="default"/>
        <w:lang w:val="zh-CN" w:eastAsia="zh-CN" w:bidi="zh-CN"/>
      </w:rPr>
    </w:lvl>
    <w:lvl w:ilvl="3">
      <w:start w:val="0"/>
      <w:numFmt w:val="bullet"/>
      <w:lvlText w:val="•"/>
      <w:lvlJc w:val="left"/>
      <w:pPr>
        <w:ind w:left="2979" w:hanging="202"/>
      </w:pPr>
      <w:rPr>
        <w:rFonts w:hint="default"/>
        <w:lang w:val="zh-CN" w:eastAsia="zh-CN" w:bidi="zh-CN"/>
      </w:rPr>
    </w:lvl>
    <w:lvl w:ilvl="4">
      <w:start w:val="0"/>
      <w:numFmt w:val="bullet"/>
      <w:lvlText w:val="•"/>
      <w:lvlJc w:val="left"/>
      <w:pPr>
        <w:ind w:left="3672" w:hanging="202"/>
      </w:pPr>
      <w:rPr>
        <w:rFonts w:hint="default"/>
        <w:lang w:val="zh-CN" w:eastAsia="zh-CN" w:bidi="zh-CN"/>
      </w:rPr>
    </w:lvl>
    <w:lvl w:ilvl="5">
      <w:start w:val="0"/>
      <w:numFmt w:val="bullet"/>
      <w:lvlText w:val="•"/>
      <w:lvlJc w:val="left"/>
      <w:pPr>
        <w:ind w:left="4365" w:hanging="202"/>
      </w:pPr>
      <w:rPr>
        <w:rFonts w:hint="default"/>
        <w:lang w:val="zh-CN" w:eastAsia="zh-CN" w:bidi="zh-CN"/>
      </w:rPr>
    </w:lvl>
    <w:lvl w:ilvl="6">
      <w:start w:val="0"/>
      <w:numFmt w:val="bullet"/>
      <w:lvlText w:val="•"/>
      <w:lvlJc w:val="left"/>
      <w:pPr>
        <w:ind w:left="5059" w:hanging="202"/>
      </w:pPr>
      <w:rPr>
        <w:rFonts w:hint="default"/>
        <w:lang w:val="zh-CN" w:eastAsia="zh-CN" w:bidi="zh-CN"/>
      </w:rPr>
    </w:lvl>
    <w:lvl w:ilvl="7">
      <w:start w:val="0"/>
      <w:numFmt w:val="bullet"/>
      <w:lvlText w:val="•"/>
      <w:lvlJc w:val="left"/>
      <w:pPr>
        <w:ind w:left="5752" w:hanging="202"/>
      </w:pPr>
      <w:rPr>
        <w:rFonts w:hint="default"/>
        <w:lang w:val="zh-CN" w:eastAsia="zh-CN" w:bidi="zh-CN"/>
      </w:rPr>
    </w:lvl>
    <w:lvl w:ilvl="8">
      <w:start w:val="0"/>
      <w:numFmt w:val="bullet"/>
      <w:lvlText w:val="•"/>
      <w:lvlJc w:val="left"/>
      <w:pPr>
        <w:ind w:left="6445" w:hanging="202"/>
      </w:pPr>
      <w:rPr>
        <w:rFonts w:hint="default"/>
        <w:lang w:val="zh-CN" w:eastAsia="zh-CN" w:bidi="zh-CN"/>
      </w:rPr>
    </w:lvl>
  </w:abstractNum>
  <w:abstractNum w:abstractNumId="14">
    <w:nsid w:val="31559240"/>
    <w:multiLevelType w:val="hybridMultilevel"/>
    <w:tmpl w:val="00000000"/>
    <w:lvl w:ilvl="0">
      <w:start w:val="1"/>
      <w:numFmt w:val="decimal"/>
      <w:lvlText w:val="%1"/>
      <w:lvlJc w:val="left"/>
      <w:pPr>
        <w:ind w:left="577" w:hanging="467"/>
        <w:jc w:val="left"/>
      </w:pPr>
      <w:rPr>
        <w:rFonts w:hint="default"/>
        <w:lang w:val="zh-CN" w:eastAsia="zh-CN" w:bidi="zh-CN"/>
      </w:rPr>
    </w:lvl>
    <w:lvl w:ilvl="1">
      <w:start w:val="2"/>
      <w:numFmt w:val="decimal"/>
      <w:lvlText w:val="%1-%2"/>
      <w:lvlJc w:val="left"/>
      <w:pPr>
        <w:ind w:left="577" w:hanging="467"/>
        <w:jc w:val="left"/>
      </w:pPr>
      <w:rPr>
        <w:rFonts w:ascii="Times New Roman" w:eastAsia="Times New Roman" w:hAnsi="Times New Roman" w:cs="Times New Roman" w:hint="default"/>
        <w:color w:val="231F20"/>
        <w:w w:val="99"/>
        <w:sz w:val="20"/>
        <w:szCs w:val="20"/>
        <w:lang w:val="zh-CN" w:eastAsia="zh-CN" w:bidi="zh-CN"/>
      </w:rPr>
    </w:lvl>
    <w:lvl w:ilvl="2">
      <w:start w:val="0"/>
      <w:numFmt w:val="bullet"/>
      <w:lvlText w:val="•"/>
      <w:lvlJc w:val="left"/>
      <w:pPr>
        <w:ind w:left="1772" w:hanging="467"/>
      </w:pPr>
      <w:rPr>
        <w:rFonts w:hint="default"/>
        <w:lang w:val="zh-CN" w:eastAsia="zh-CN" w:bidi="zh-CN"/>
      </w:rPr>
    </w:lvl>
    <w:lvl w:ilvl="3">
      <w:start w:val="0"/>
      <w:numFmt w:val="bullet"/>
      <w:lvlText w:val="•"/>
      <w:lvlJc w:val="left"/>
      <w:pPr>
        <w:ind w:left="2368" w:hanging="467"/>
      </w:pPr>
      <w:rPr>
        <w:rFonts w:hint="default"/>
        <w:lang w:val="zh-CN" w:eastAsia="zh-CN" w:bidi="zh-CN"/>
      </w:rPr>
    </w:lvl>
    <w:lvl w:ilvl="4">
      <w:start w:val="0"/>
      <w:numFmt w:val="bullet"/>
      <w:lvlText w:val="•"/>
      <w:lvlJc w:val="left"/>
      <w:pPr>
        <w:ind w:left="2965" w:hanging="467"/>
      </w:pPr>
      <w:rPr>
        <w:rFonts w:hint="default"/>
        <w:lang w:val="zh-CN" w:eastAsia="zh-CN" w:bidi="zh-CN"/>
      </w:rPr>
    </w:lvl>
    <w:lvl w:ilvl="5">
      <w:start w:val="0"/>
      <w:numFmt w:val="bullet"/>
      <w:lvlText w:val="•"/>
      <w:lvlJc w:val="left"/>
      <w:pPr>
        <w:ind w:left="3561" w:hanging="467"/>
      </w:pPr>
      <w:rPr>
        <w:rFonts w:hint="default"/>
        <w:lang w:val="zh-CN" w:eastAsia="zh-CN" w:bidi="zh-CN"/>
      </w:rPr>
    </w:lvl>
    <w:lvl w:ilvl="6">
      <w:start w:val="0"/>
      <w:numFmt w:val="bullet"/>
      <w:lvlText w:val="•"/>
      <w:lvlJc w:val="left"/>
      <w:pPr>
        <w:ind w:left="4157" w:hanging="467"/>
      </w:pPr>
      <w:rPr>
        <w:rFonts w:hint="default"/>
        <w:lang w:val="zh-CN" w:eastAsia="zh-CN" w:bidi="zh-CN"/>
      </w:rPr>
    </w:lvl>
    <w:lvl w:ilvl="7">
      <w:start w:val="0"/>
      <w:numFmt w:val="bullet"/>
      <w:lvlText w:val="•"/>
      <w:lvlJc w:val="left"/>
      <w:pPr>
        <w:ind w:left="4754" w:hanging="467"/>
      </w:pPr>
      <w:rPr>
        <w:rFonts w:hint="default"/>
        <w:lang w:val="zh-CN" w:eastAsia="zh-CN" w:bidi="zh-CN"/>
      </w:rPr>
    </w:lvl>
    <w:lvl w:ilvl="8">
      <w:start w:val="0"/>
      <w:numFmt w:val="bullet"/>
      <w:lvlText w:val="•"/>
      <w:lvlJc w:val="left"/>
      <w:pPr>
        <w:ind w:left="5350" w:hanging="467"/>
      </w:pPr>
      <w:rPr>
        <w:rFonts w:hint="default"/>
        <w:lang w:val="zh-CN" w:eastAsia="zh-CN" w:bidi="zh-CN"/>
      </w:rPr>
    </w:lvl>
  </w:abstractNum>
  <w:abstractNum w:abstractNumId="15">
    <w:nsid w:val="36B321D6"/>
    <w:multiLevelType w:val="hybridMultilevel"/>
    <w:tmpl w:val="00000000"/>
    <w:lvl w:ilvl="0">
      <w:start w:val="1"/>
      <w:numFmt w:val="decimal"/>
      <w:lvlText w:val="%1."/>
      <w:lvlJc w:val="left"/>
      <w:pPr>
        <w:ind w:left="1197" w:hanging="327"/>
        <w:jc w:val="right"/>
      </w:pPr>
      <w:rPr>
        <w:rFonts w:ascii="Arial" w:eastAsia="Arial" w:hAnsi="Arial" w:cs="Arial" w:hint="default"/>
        <w:color w:val="231F20"/>
        <w:spacing w:val="-10"/>
        <w:w w:val="100"/>
        <w:sz w:val="24"/>
        <w:szCs w:val="24"/>
        <w:lang w:val="zh-CN" w:eastAsia="zh-CN" w:bidi="zh-CN"/>
      </w:rPr>
    </w:lvl>
    <w:lvl w:ilvl="1">
      <w:start w:val="0"/>
      <w:numFmt w:val="bullet"/>
      <w:lvlText w:val="•"/>
      <w:lvlJc w:val="left"/>
      <w:pPr>
        <w:ind w:left="1863" w:hanging="327"/>
      </w:pPr>
      <w:rPr>
        <w:rFonts w:hint="default"/>
        <w:lang w:val="zh-CN" w:eastAsia="zh-CN" w:bidi="zh-CN"/>
      </w:rPr>
    </w:lvl>
    <w:lvl w:ilvl="2">
      <w:start w:val="0"/>
      <w:numFmt w:val="bullet"/>
      <w:lvlText w:val="•"/>
      <w:lvlJc w:val="left"/>
      <w:pPr>
        <w:ind w:left="2526" w:hanging="327"/>
      </w:pPr>
      <w:rPr>
        <w:rFonts w:hint="default"/>
        <w:lang w:val="zh-CN" w:eastAsia="zh-CN" w:bidi="zh-CN"/>
      </w:rPr>
    </w:lvl>
    <w:lvl w:ilvl="3">
      <w:start w:val="0"/>
      <w:numFmt w:val="bullet"/>
      <w:lvlText w:val="•"/>
      <w:lvlJc w:val="left"/>
      <w:pPr>
        <w:ind w:left="3189" w:hanging="327"/>
      </w:pPr>
      <w:rPr>
        <w:rFonts w:hint="default"/>
        <w:lang w:val="zh-CN" w:eastAsia="zh-CN" w:bidi="zh-CN"/>
      </w:rPr>
    </w:lvl>
    <w:lvl w:ilvl="4">
      <w:start w:val="0"/>
      <w:numFmt w:val="bullet"/>
      <w:lvlText w:val="•"/>
      <w:lvlJc w:val="left"/>
      <w:pPr>
        <w:ind w:left="3852" w:hanging="327"/>
      </w:pPr>
      <w:rPr>
        <w:rFonts w:hint="default"/>
        <w:lang w:val="zh-CN" w:eastAsia="zh-CN" w:bidi="zh-CN"/>
      </w:rPr>
    </w:lvl>
    <w:lvl w:ilvl="5">
      <w:start w:val="0"/>
      <w:numFmt w:val="bullet"/>
      <w:lvlText w:val="•"/>
      <w:lvlJc w:val="left"/>
      <w:pPr>
        <w:ind w:left="4515" w:hanging="327"/>
      </w:pPr>
      <w:rPr>
        <w:rFonts w:hint="default"/>
        <w:lang w:val="zh-CN" w:eastAsia="zh-CN" w:bidi="zh-CN"/>
      </w:rPr>
    </w:lvl>
    <w:lvl w:ilvl="6">
      <w:start w:val="0"/>
      <w:numFmt w:val="bullet"/>
      <w:lvlText w:val="•"/>
      <w:lvlJc w:val="left"/>
      <w:pPr>
        <w:ind w:left="5179" w:hanging="327"/>
      </w:pPr>
      <w:rPr>
        <w:rFonts w:hint="default"/>
        <w:lang w:val="zh-CN" w:eastAsia="zh-CN" w:bidi="zh-CN"/>
      </w:rPr>
    </w:lvl>
    <w:lvl w:ilvl="7">
      <w:start w:val="0"/>
      <w:numFmt w:val="bullet"/>
      <w:lvlText w:val="•"/>
      <w:lvlJc w:val="left"/>
      <w:pPr>
        <w:ind w:left="5842" w:hanging="327"/>
      </w:pPr>
      <w:rPr>
        <w:rFonts w:hint="default"/>
        <w:lang w:val="zh-CN" w:eastAsia="zh-CN" w:bidi="zh-CN"/>
      </w:rPr>
    </w:lvl>
    <w:lvl w:ilvl="8">
      <w:start w:val="0"/>
      <w:numFmt w:val="bullet"/>
      <w:lvlText w:val="•"/>
      <w:lvlJc w:val="left"/>
      <w:pPr>
        <w:ind w:left="6505" w:hanging="327"/>
      </w:pPr>
      <w:rPr>
        <w:rFonts w:hint="default"/>
        <w:lang w:val="zh-CN" w:eastAsia="zh-CN" w:bidi="zh-CN"/>
      </w:rPr>
    </w:lvl>
  </w:abstractNum>
  <w:abstractNum w:abstractNumId="16">
    <w:nsid w:val="3C9209F2"/>
    <w:multiLevelType w:val="hybridMultilevel"/>
    <w:tmpl w:val="00000000"/>
    <w:lvl w:ilvl="0">
      <w:start w:val="1"/>
      <w:numFmt w:val="decimal"/>
      <w:lvlText w:val="（%1）"/>
      <w:lvlJc w:val="left"/>
      <w:pPr>
        <w:ind w:left="390" w:hanging="601"/>
        <w:jc w:val="right"/>
      </w:pPr>
      <w:rPr>
        <w:rFonts w:ascii="宋体" w:eastAsia="宋体" w:hAnsi="宋体" w:cs="宋体" w:hint="default"/>
        <w:color w:val="231F20"/>
        <w:w w:val="100"/>
        <w:sz w:val="22"/>
        <w:szCs w:val="22"/>
        <w:lang w:val="zh-CN" w:eastAsia="zh-CN" w:bidi="zh-CN"/>
      </w:rPr>
    </w:lvl>
    <w:lvl w:ilvl="1">
      <w:start w:val="0"/>
      <w:numFmt w:val="bullet"/>
      <w:lvlText w:val="•"/>
      <w:lvlJc w:val="left"/>
      <w:pPr>
        <w:ind w:left="1143" w:hanging="601"/>
      </w:pPr>
      <w:rPr>
        <w:rFonts w:hint="default"/>
        <w:lang w:val="zh-CN" w:eastAsia="zh-CN" w:bidi="zh-CN"/>
      </w:rPr>
    </w:lvl>
    <w:lvl w:ilvl="2">
      <w:start w:val="0"/>
      <w:numFmt w:val="bullet"/>
      <w:lvlText w:val="•"/>
      <w:lvlJc w:val="left"/>
      <w:pPr>
        <w:ind w:left="1886" w:hanging="601"/>
      </w:pPr>
      <w:rPr>
        <w:rFonts w:hint="default"/>
        <w:lang w:val="zh-CN" w:eastAsia="zh-CN" w:bidi="zh-CN"/>
      </w:rPr>
    </w:lvl>
    <w:lvl w:ilvl="3">
      <w:start w:val="0"/>
      <w:numFmt w:val="bullet"/>
      <w:lvlText w:val="•"/>
      <w:lvlJc w:val="left"/>
      <w:pPr>
        <w:ind w:left="2629" w:hanging="601"/>
      </w:pPr>
      <w:rPr>
        <w:rFonts w:hint="default"/>
        <w:lang w:val="zh-CN" w:eastAsia="zh-CN" w:bidi="zh-CN"/>
      </w:rPr>
    </w:lvl>
    <w:lvl w:ilvl="4">
      <w:start w:val="0"/>
      <w:numFmt w:val="bullet"/>
      <w:lvlText w:val="•"/>
      <w:lvlJc w:val="left"/>
      <w:pPr>
        <w:ind w:left="3372" w:hanging="601"/>
      </w:pPr>
      <w:rPr>
        <w:rFonts w:hint="default"/>
        <w:lang w:val="zh-CN" w:eastAsia="zh-CN" w:bidi="zh-CN"/>
      </w:rPr>
    </w:lvl>
    <w:lvl w:ilvl="5">
      <w:start w:val="0"/>
      <w:numFmt w:val="bullet"/>
      <w:lvlText w:val="•"/>
      <w:lvlJc w:val="left"/>
      <w:pPr>
        <w:ind w:left="4115" w:hanging="601"/>
      </w:pPr>
      <w:rPr>
        <w:rFonts w:hint="default"/>
        <w:lang w:val="zh-CN" w:eastAsia="zh-CN" w:bidi="zh-CN"/>
      </w:rPr>
    </w:lvl>
    <w:lvl w:ilvl="6">
      <w:start w:val="0"/>
      <w:numFmt w:val="bullet"/>
      <w:lvlText w:val="•"/>
      <w:lvlJc w:val="left"/>
      <w:pPr>
        <w:ind w:left="4859" w:hanging="601"/>
      </w:pPr>
      <w:rPr>
        <w:rFonts w:hint="default"/>
        <w:lang w:val="zh-CN" w:eastAsia="zh-CN" w:bidi="zh-CN"/>
      </w:rPr>
    </w:lvl>
    <w:lvl w:ilvl="7">
      <w:start w:val="0"/>
      <w:numFmt w:val="bullet"/>
      <w:lvlText w:val="•"/>
      <w:lvlJc w:val="left"/>
      <w:pPr>
        <w:ind w:left="5602" w:hanging="601"/>
      </w:pPr>
      <w:rPr>
        <w:rFonts w:hint="default"/>
        <w:lang w:val="zh-CN" w:eastAsia="zh-CN" w:bidi="zh-CN"/>
      </w:rPr>
    </w:lvl>
    <w:lvl w:ilvl="8">
      <w:start w:val="0"/>
      <w:numFmt w:val="bullet"/>
      <w:lvlText w:val="•"/>
      <w:lvlJc w:val="left"/>
      <w:pPr>
        <w:ind w:left="6345" w:hanging="601"/>
      </w:pPr>
      <w:rPr>
        <w:rFonts w:hint="default"/>
        <w:lang w:val="zh-CN" w:eastAsia="zh-CN" w:bidi="zh-CN"/>
      </w:rPr>
    </w:lvl>
  </w:abstractNum>
  <w:abstractNum w:abstractNumId="17">
    <w:nsid w:val="3D6E2168"/>
    <w:multiLevelType w:val="hybridMultilevel"/>
    <w:tmpl w:val="00000000"/>
    <w:lvl w:ilvl="0">
      <w:start w:val="1"/>
      <w:numFmt w:val="decimal"/>
      <w:lvlText w:val="（%1）"/>
      <w:lvlJc w:val="left"/>
      <w:pPr>
        <w:ind w:left="220" w:hanging="601"/>
        <w:jc w:val="right"/>
      </w:pPr>
      <w:rPr>
        <w:rFonts w:ascii="宋体" w:eastAsia="宋体" w:hAnsi="宋体" w:cs="宋体" w:hint="default"/>
        <w:color w:val="231F20"/>
        <w:spacing w:val="-5"/>
        <w:w w:val="100"/>
        <w:sz w:val="22"/>
        <w:szCs w:val="22"/>
        <w:lang w:val="zh-CN" w:eastAsia="zh-CN" w:bidi="zh-CN"/>
      </w:rPr>
    </w:lvl>
    <w:lvl w:ilvl="1">
      <w:start w:val="1"/>
      <w:numFmt w:val="decimal"/>
      <w:lvlText w:val="%2."/>
      <w:lvlJc w:val="left"/>
      <w:pPr>
        <w:ind w:left="390" w:hanging="308"/>
        <w:jc w:val="left"/>
      </w:pPr>
      <w:rPr>
        <w:rFonts w:ascii="Times New Roman" w:eastAsia="Times New Roman" w:hAnsi="Times New Roman" w:cs="Times New Roman" w:hint="default"/>
        <w:color w:val="231F20"/>
        <w:spacing w:val="-5"/>
        <w:w w:val="100"/>
        <w:sz w:val="24"/>
        <w:szCs w:val="24"/>
        <w:lang w:val="zh-CN" w:eastAsia="zh-CN" w:bidi="zh-CN"/>
      </w:rPr>
    </w:lvl>
    <w:lvl w:ilvl="2">
      <w:start w:val="0"/>
      <w:numFmt w:val="bullet"/>
      <w:lvlText w:val="•"/>
      <w:lvlJc w:val="left"/>
      <w:pPr>
        <w:ind w:left="1225" w:hanging="308"/>
      </w:pPr>
      <w:rPr>
        <w:rFonts w:hint="default"/>
        <w:lang w:val="zh-CN" w:eastAsia="zh-CN" w:bidi="zh-CN"/>
      </w:rPr>
    </w:lvl>
    <w:lvl w:ilvl="3">
      <w:start w:val="0"/>
      <w:numFmt w:val="bullet"/>
      <w:lvlText w:val="•"/>
      <w:lvlJc w:val="left"/>
      <w:pPr>
        <w:ind w:left="2051" w:hanging="308"/>
      </w:pPr>
      <w:rPr>
        <w:rFonts w:hint="default"/>
        <w:lang w:val="zh-CN" w:eastAsia="zh-CN" w:bidi="zh-CN"/>
      </w:rPr>
    </w:lvl>
    <w:lvl w:ilvl="4">
      <w:start w:val="0"/>
      <w:numFmt w:val="bullet"/>
      <w:lvlText w:val="•"/>
      <w:lvlJc w:val="left"/>
      <w:pPr>
        <w:ind w:left="2877" w:hanging="308"/>
      </w:pPr>
      <w:rPr>
        <w:rFonts w:hint="default"/>
        <w:lang w:val="zh-CN" w:eastAsia="zh-CN" w:bidi="zh-CN"/>
      </w:rPr>
    </w:lvl>
    <w:lvl w:ilvl="5">
      <w:start w:val="0"/>
      <w:numFmt w:val="bullet"/>
      <w:lvlText w:val="•"/>
      <w:lvlJc w:val="left"/>
      <w:pPr>
        <w:ind w:left="3702" w:hanging="308"/>
      </w:pPr>
      <w:rPr>
        <w:rFonts w:hint="default"/>
        <w:lang w:val="zh-CN" w:eastAsia="zh-CN" w:bidi="zh-CN"/>
      </w:rPr>
    </w:lvl>
    <w:lvl w:ilvl="6">
      <w:start w:val="0"/>
      <w:numFmt w:val="bullet"/>
      <w:lvlText w:val="•"/>
      <w:lvlJc w:val="left"/>
      <w:pPr>
        <w:ind w:left="4528" w:hanging="308"/>
      </w:pPr>
      <w:rPr>
        <w:rFonts w:hint="default"/>
        <w:lang w:val="zh-CN" w:eastAsia="zh-CN" w:bidi="zh-CN"/>
      </w:rPr>
    </w:lvl>
    <w:lvl w:ilvl="7">
      <w:start w:val="0"/>
      <w:numFmt w:val="bullet"/>
      <w:lvlText w:val="•"/>
      <w:lvlJc w:val="left"/>
      <w:pPr>
        <w:ind w:left="5354" w:hanging="308"/>
      </w:pPr>
      <w:rPr>
        <w:rFonts w:hint="default"/>
        <w:lang w:val="zh-CN" w:eastAsia="zh-CN" w:bidi="zh-CN"/>
      </w:rPr>
    </w:lvl>
    <w:lvl w:ilvl="8">
      <w:start w:val="0"/>
      <w:numFmt w:val="bullet"/>
      <w:lvlText w:val="•"/>
      <w:lvlJc w:val="left"/>
      <w:pPr>
        <w:ind w:left="6180" w:hanging="308"/>
      </w:pPr>
      <w:rPr>
        <w:rFonts w:hint="default"/>
        <w:lang w:val="zh-CN" w:eastAsia="zh-CN" w:bidi="zh-CN"/>
      </w:rPr>
    </w:lvl>
  </w:abstractNum>
  <w:abstractNum w:abstractNumId="18">
    <w:nsid w:val="3F2A2AF7"/>
    <w:multiLevelType w:val="hybridMultilevel"/>
    <w:tmpl w:val="00000000"/>
    <w:lvl w:ilvl="0">
      <w:start w:val="4"/>
      <w:numFmt w:val="decimal"/>
      <w:lvlText w:val="（%1）"/>
      <w:lvlJc w:val="left"/>
      <w:pPr>
        <w:ind w:left="715" w:hanging="615"/>
        <w:jc w:val="left"/>
      </w:pPr>
      <w:rPr>
        <w:rFonts w:ascii="宋体" w:eastAsia="宋体" w:hAnsi="宋体" w:cs="宋体" w:hint="default"/>
        <w:color w:val="231F20"/>
        <w:spacing w:val="0"/>
        <w:w w:val="100"/>
        <w:sz w:val="22"/>
        <w:szCs w:val="22"/>
        <w:lang w:val="zh-CN" w:eastAsia="zh-CN" w:bidi="zh-CN"/>
      </w:rPr>
    </w:lvl>
    <w:lvl w:ilvl="1">
      <w:start w:val="0"/>
      <w:numFmt w:val="bullet"/>
      <w:lvlText w:val="●"/>
      <w:lvlJc w:val="left"/>
      <w:pPr>
        <w:ind w:left="883" w:hanging="183"/>
      </w:pPr>
      <w:rPr>
        <w:rFonts w:ascii="宋体" w:eastAsia="宋体" w:hAnsi="宋体" w:cs="宋体" w:hint="default"/>
        <w:color w:val="231F20"/>
        <w:w w:val="100"/>
        <w:position w:val="4"/>
        <w:sz w:val="12"/>
        <w:szCs w:val="12"/>
        <w:lang w:val="zh-CN" w:eastAsia="zh-CN" w:bidi="zh-CN"/>
      </w:rPr>
    </w:lvl>
    <w:lvl w:ilvl="2">
      <w:start w:val="0"/>
      <w:numFmt w:val="bullet"/>
      <w:lvlText w:val="●"/>
      <w:lvlJc w:val="left"/>
      <w:pPr>
        <w:ind w:left="390" w:hanging="183"/>
      </w:pPr>
      <w:rPr>
        <w:rFonts w:ascii="宋体" w:eastAsia="宋体" w:hAnsi="宋体" w:cs="宋体" w:hint="default"/>
        <w:color w:val="231F20"/>
        <w:w w:val="100"/>
        <w:position w:val="4"/>
        <w:sz w:val="12"/>
        <w:szCs w:val="12"/>
        <w:lang w:val="zh-CN" w:eastAsia="zh-CN" w:bidi="zh-CN"/>
      </w:rPr>
    </w:lvl>
    <w:lvl w:ilvl="3">
      <w:start w:val="0"/>
      <w:numFmt w:val="bullet"/>
      <w:lvlText w:val="•"/>
      <w:lvlJc w:val="left"/>
      <w:pPr>
        <w:ind w:left="1748" w:hanging="183"/>
      </w:pPr>
      <w:rPr>
        <w:rFonts w:hint="default"/>
        <w:lang w:val="zh-CN" w:eastAsia="zh-CN" w:bidi="zh-CN"/>
      </w:rPr>
    </w:lvl>
    <w:lvl w:ilvl="4">
      <w:start w:val="0"/>
      <w:numFmt w:val="bullet"/>
      <w:lvlText w:val="•"/>
      <w:lvlJc w:val="left"/>
      <w:pPr>
        <w:ind w:left="2617" w:hanging="183"/>
      </w:pPr>
      <w:rPr>
        <w:rFonts w:hint="default"/>
        <w:lang w:val="zh-CN" w:eastAsia="zh-CN" w:bidi="zh-CN"/>
      </w:rPr>
    </w:lvl>
    <w:lvl w:ilvl="5">
      <w:start w:val="0"/>
      <w:numFmt w:val="bullet"/>
      <w:lvlText w:val="•"/>
      <w:lvlJc w:val="left"/>
      <w:pPr>
        <w:ind w:left="3486" w:hanging="183"/>
      </w:pPr>
      <w:rPr>
        <w:rFonts w:hint="default"/>
        <w:lang w:val="zh-CN" w:eastAsia="zh-CN" w:bidi="zh-CN"/>
      </w:rPr>
    </w:lvl>
    <w:lvl w:ilvl="6">
      <w:start w:val="0"/>
      <w:numFmt w:val="bullet"/>
      <w:lvlText w:val="•"/>
      <w:lvlJc w:val="left"/>
      <w:pPr>
        <w:ind w:left="4355" w:hanging="183"/>
      </w:pPr>
      <w:rPr>
        <w:rFonts w:hint="default"/>
        <w:lang w:val="zh-CN" w:eastAsia="zh-CN" w:bidi="zh-CN"/>
      </w:rPr>
    </w:lvl>
    <w:lvl w:ilvl="7">
      <w:start w:val="0"/>
      <w:numFmt w:val="bullet"/>
      <w:lvlText w:val="•"/>
      <w:lvlJc w:val="left"/>
      <w:pPr>
        <w:ind w:left="5224" w:hanging="183"/>
      </w:pPr>
      <w:rPr>
        <w:rFonts w:hint="default"/>
        <w:lang w:val="zh-CN" w:eastAsia="zh-CN" w:bidi="zh-CN"/>
      </w:rPr>
    </w:lvl>
    <w:lvl w:ilvl="8">
      <w:start w:val="0"/>
      <w:numFmt w:val="bullet"/>
      <w:lvlText w:val="•"/>
      <w:lvlJc w:val="left"/>
      <w:pPr>
        <w:ind w:left="6093" w:hanging="183"/>
      </w:pPr>
      <w:rPr>
        <w:rFonts w:hint="default"/>
        <w:lang w:val="zh-CN" w:eastAsia="zh-CN" w:bidi="zh-CN"/>
      </w:rPr>
    </w:lvl>
  </w:abstractNum>
  <w:abstractNum w:abstractNumId="19">
    <w:nsid w:val="4044232E"/>
    <w:multiLevelType w:val="hybridMultilevel"/>
    <w:tmpl w:val="00000000"/>
    <w:lvl w:ilvl="0">
      <w:start w:val="1"/>
      <w:numFmt w:val="decimal"/>
      <w:lvlText w:val="（%1）"/>
      <w:lvlJc w:val="left"/>
      <w:pPr>
        <w:ind w:left="220" w:hanging="601"/>
        <w:jc w:val="right"/>
      </w:pPr>
      <w:rPr>
        <w:rFonts w:ascii="宋体" w:eastAsia="宋体" w:hAnsi="宋体" w:cs="宋体" w:hint="default"/>
        <w:color w:val="231F20"/>
        <w:spacing w:val="-17"/>
        <w:w w:val="100"/>
        <w:sz w:val="22"/>
        <w:szCs w:val="22"/>
        <w:lang w:val="zh-CN" w:eastAsia="zh-CN" w:bidi="zh-CN"/>
      </w:rPr>
    </w:lvl>
    <w:lvl w:ilvl="1">
      <w:start w:val="0"/>
      <w:numFmt w:val="bullet"/>
      <w:lvlText w:val="•"/>
      <w:lvlJc w:val="left"/>
      <w:pPr>
        <w:ind w:left="981" w:hanging="601"/>
      </w:pPr>
      <w:rPr>
        <w:rFonts w:hint="default"/>
        <w:lang w:val="zh-CN" w:eastAsia="zh-CN" w:bidi="zh-CN"/>
      </w:rPr>
    </w:lvl>
    <w:lvl w:ilvl="2">
      <w:start w:val="0"/>
      <w:numFmt w:val="bullet"/>
      <w:lvlText w:val="•"/>
      <w:lvlJc w:val="left"/>
      <w:pPr>
        <w:ind w:left="1742" w:hanging="601"/>
      </w:pPr>
      <w:rPr>
        <w:rFonts w:hint="default"/>
        <w:lang w:val="zh-CN" w:eastAsia="zh-CN" w:bidi="zh-CN"/>
      </w:rPr>
    </w:lvl>
    <w:lvl w:ilvl="3">
      <w:start w:val="0"/>
      <w:numFmt w:val="bullet"/>
      <w:lvlText w:val="•"/>
      <w:lvlJc w:val="left"/>
      <w:pPr>
        <w:ind w:left="2503" w:hanging="601"/>
      </w:pPr>
      <w:rPr>
        <w:rFonts w:hint="default"/>
        <w:lang w:val="zh-CN" w:eastAsia="zh-CN" w:bidi="zh-CN"/>
      </w:rPr>
    </w:lvl>
    <w:lvl w:ilvl="4">
      <w:start w:val="0"/>
      <w:numFmt w:val="bullet"/>
      <w:lvlText w:val="•"/>
      <w:lvlJc w:val="left"/>
      <w:pPr>
        <w:ind w:left="3264" w:hanging="601"/>
      </w:pPr>
      <w:rPr>
        <w:rFonts w:hint="default"/>
        <w:lang w:val="zh-CN" w:eastAsia="zh-CN" w:bidi="zh-CN"/>
      </w:rPr>
    </w:lvl>
    <w:lvl w:ilvl="5">
      <w:start w:val="0"/>
      <w:numFmt w:val="bullet"/>
      <w:lvlText w:val="•"/>
      <w:lvlJc w:val="left"/>
      <w:pPr>
        <w:ind w:left="4025" w:hanging="601"/>
      </w:pPr>
      <w:rPr>
        <w:rFonts w:hint="default"/>
        <w:lang w:val="zh-CN" w:eastAsia="zh-CN" w:bidi="zh-CN"/>
      </w:rPr>
    </w:lvl>
    <w:lvl w:ilvl="6">
      <w:start w:val="0"/>
      <w:numFmt w:val="bullet"/>
      <w:lvlText w:val="•"/>
      <w:lvlJc w:val="left"/>
      <w:pPr>
        <w:ind w:left="4787" w:hanging="601"/>
      </w:pPr>
      <w:rPr>
        <w:rFonts w:hint="default"/>
        <w:lang w:val="zh-CN" w:eastAsia="zh-CN" w:bidi="zh-CN"/>
      </w:rPr>
    </w:lvl>
    <w:lvl w:ilvl="7">
      <w:start w:val="0"/>
      <w:numFmt w:val="bullet"/>
      <w:lvlText w:val="•"/>
      <w:lvlJc w:val="left"/>
      <w:pPr>
        <w:ind w:left="5548" w:hanging="601"/>
      </w:pPr>
      <w:rPr>
        <w:rFonts w:hint="default"/>
        <w:lang w:val="zh-CN" w:eastAsia="zh-CN" w:bidi="zh-CN"/>
      </w:rPr>
    </w:lvl>
    <w:lvl w:ilvl="8">
      <w:start w:val="0"/>
      <w:numFmt w:val="bullet"/>
      <w:lvlText w:val="•"/>
      <w:lvlJc w:val="left"/>
      <w:pPr>
        <w:ind w:left="6309" w:hanging="601"/>
      </w:pPr>
      <w:rPr>
        <w:rFonts w:hint="default"/>
        <w:lang w:val="zh-CN" w:eastAsia="zh-CN" w:bidi="zh-CN"/>
      </w:rPr>
    </w:lvl>
  </w:abstractNum>
  <w:abstractNum w:abstractNumId="20">
    <w:nsid w:val="42008281"/>
    <w:multiLevelType w:val="hybridMultilevel"/>
    <w:tmpl w:val="00000000"/>
    <w:lvl w:ilvl="0">
      <w:start w:val="1"/>
      <w:numFmt w:val="decimal"/>
      <w:lvlText w:val="%1."/>
      <w:lvlJc w:val="left"/>
      <w:pPr>
        <w:ind w:left="390" w:hanging="308"/>
        <w:jc w:val="right"/>
      </w:pPr>
      <w:rPr>
        <w:rFonts w:ascii="Times New Roman" w:eastAsia="Times New Roman" w:hAnsi="Times New Roman" w:cs="Times New Roman" w:hint="default"/>
        <w:color w:val="231F20"/>
        <w:spacing w:val="-5"/>
        <w:w w:val="100"/>
        <w:sz w:val="24"/>
        <w:szCs w:val="24"/>
        <w:lang w:val="zh-CN" w:eastAsia="zh-CN" w:bidi="zh-CN"/>
      </w:rPr>
    </w:lvl>
    <w:lvl w:ilvl="1">
      <w:start w:val="0"/>
      <w:numFmt w:val="bullet"/>
      <w:lvlText w:val="•"/>
      <w:lvlJc w:val="left"/>
      <w:pPr>
        <w:ind w:left="1143" w:hanging="308"/>
      </w:pPr>
      <w:rPr>
        <w:rFonts w:hint="default"/>
        <w:lang w:val="zh-CN" w:eastAsia="zh-CN" w:bidi="zh-CN"/>
      </w:rPr>
    </w:lvl>
    <w:lvl w:ilvl="2">
      <w:start w:val="0"/>
      <w:numFmt w:val="bullet"/>
      <w:lvlText w:val="•"/>
      <w:lvlJc w:val="left"/>
      <w:pPr>
        <w:ind w:left="1886" w:hanging="308"/>
      </w:pPr>
      <w:rPr>
        <w:rFonts w:hint="default"/>
        <w:lang w:val="zh-CN" w:eastAsia="zh-CN" w:bidi="zh-CN"/>
      </w:rPr>
    </w:lvl>
    <w:lvl w:ilvl="3">
      <w:start w:val="0"/>
      <w:numFmt w:val="bullet"/>
      <w:lvlText w:val="•"/>
      <w:lvlJc w:val="left"/>
      <w:pPr>
        <w:ind w:left="2629" w:hanging="308"/>
      </w:pPr>
      <w:rPr>
        <w:rFonts w:hint="default"/>
        <w:lang w:val="zh-CN" w:eastAsia="zh-CN" w:bidi="zh-CN"/>
      </w:rPr>
    </w:lvl>
    <w:lvl w:ilvl="4">
      <w:start w:val="0"/>
      <w:numFmt w:val="bullet"/>
      <w:lvlText w:val="•"/>
      <w:lvlJc w:val="left"/>
      <w:pPr>
        <w:ind w:left="3372" w:hanging="308"/>
      </w:pPr>
      <w:rPr>
        <w:rFonts w:hint="default"/>
        <w:lang w:val="zh-CN" w:eastAsia="zh-CN" w:bidi="zh-CN"/>
      </w:rPr>
    </w:lvl>
    <w:lvl w:ilvl="5">
      <w:start w:val="0"/>
      <w:numFmt w:val="bullet"/>
      <w:lvlText w:val="•"/>
      <w:lvlJc w:val="left"/>
      <w:pPr>
        <w:ind w:left="4115" w:hanging="308"/>
      </w:pPr>
      <w:rPr>
        <w:rFonts w:hint="default"/>
        <w:lang w:val="zh-CN" w:eastAsia="zh-CN" w:bidi="zh-CN"/>
      </w:rPr>
    </w:lvl>
    <w:lvl w:ilvl="6">
      <w:start w:val="0"/>
      <w:numFmt w:val="bullet"/>
      <w:lvlText w:val="•"/>
      <w:lvlJc w:val="left"/>
      <w:pPr>
        <w:ind w:left="4859" w:hanging="308"/>
      </w:pPr>
      <w:rPr>
        <w:rFonts w:hint="default"/>
        <w:lang w:val="zh-CN" w:eastAsia="zh-CN" w:bidi="zh-CN"/>
      </w:rPr>
    </w:lvl>
    <w:lvl w:ilvl="7">
      <w:start w:val="0"/>
      <w:numFmt w:val="bullet"/>
      <w:lvlText w:val="•"/>
      <w:lvlJc w:val="left"/>
      <w:pPr>
        <w:ind w:left="5602" w:hanging="308"/>
      </w:pPr>
      <w:rPr>
        <w:rFonts w:hint="default"/>
        <w:lang w:val="zh-CN" w:eastAsia="zh-CN" w:bidi="zh-CN"/>
      </w:rPr>
    </w:lvl>
    <w:lvl w:ilvl="8">
      <w:start w:val="0"/>
      <w:numFmt w:val="bullet"/>
      <w:lvlText w:val="•"/>
      <w:lvlJc w:val="left"/>
      <w:pPr>
        <w:ind w:left="6345" w:hanging="308"/>
      </w:pPr>
      <w:rPr>
        <w:rFonts w:hint="default"/>
        <w:lang w:val="zh-CN" w:eastAsia="zh-CN" w:bidi="zh-CN"/>
      </w:rPr>
    </w:lvl>
  </w:abstractNum>
  <w:abstractNum w:abstractNumId="21">
    <w:nsid w:val="46DA857E"/>
    <w:multiLevelType w:val="hybridMultilevel"/>
    <w:tmpl w:val="00000000"/>
    <w:lvl w:ilvl="0">
      <w:start w:val="3"/>
      <w:numFmt w:val="decimal"/>
      <w:lvlText w:val="%1"/>
      <w:lvlJc w:val="left"/>
      <w:pPr>
        <w:ind w:left="640" w:hanging="420"/>
        <w:jc w:val="left"/>
      </w:pPr>
      <w:rPr>
        <w:rFonts w:hint="default"/>
        <w:lang w:val="zh-CN" w:eastAsia="zh-CN" w:bidi="zh-CN"/>
      </w:rPr>
    </w:lvl>
    <w:lvl w:ilvl="1">
      <w:start w:val="1"/>
      <w:numFmt w:val="decimal"/>
      <w:lvlText w:val="%1.%2"/>
      <w:lvlJc w:val="left"/>
      <w:pPr>
        <w:ind w:left="640" w:hanging="420"/>
        <w:jc w:val="left"/>
      </w:pPr>
      <w:rPr>
        <w:rFonts w:ascii="Times New Roman" w:eastAsia="Times New Roman" w:hAnsi="Times New Roman" w:cs="Times New Roman" w:hint="default"/>
        <w:color w:val="231F20"/>
        <w:spacing w:val="-30"/>
        <w:w w:val="99"/>
        <w:sz w:val="24"/>
        <w:szCs w:val="24"/>
        <w:lang w:val="zh-CN" w:eastAsia="zh-CN" w:bidi="zh-CN"/>
      </w:rPr>
    </w:lvl>
    <w:lvl w:ilvl="2">
      <w:start w:val="1"/>
      <w:numFmt w:val="decimal"/>
      <w:lvlText w:val="%1.%2.%3"/>
      <w:lvlJc w:val="left"/>
      <w:pPr>
        <w:ind w:left="1320" w:hanging="603"/>
        <w:jc w:val="left"/>
      </w:pPr>
      <w:rPr>
        <w:rFonts w:ascii="Times New Roman" w:eastAsia="Times New Roman" w:hAnsi="Times New Roman" w:cs="Times New Roman" w:hint="default"/>
        <w:color w:val="231F20"/>
        <w:spacing w:val="-30"/>
        <w:w w:val="99"/>
        <w:sz w:val="24"/>
        <w:szCs w:val="24"/>
        <w:lang w:val="zh-CN" w:eastAsia="zh-CN" w:bidi="zh-CN"/>
      </w:rPr>
    </w:lvl>
    <w:lvl w:ilvl="3">
      <w:start w:val="0"/>
      <w:numFmt w:val="bullet"/>
      <w:lvlText w:val="•"/>
      <w:lvlJc w:val="left"/>
      <w:pPr>
        <w:ind w:left="1500" w:hanging="603"/>
      </w:pPr>
      <w:rPr>
        <w:rFonts w:hint="default"/>
        <w:lang w:val="zh-CN" w:eastAsia="zh-CN" w:bidi="zh-CN"/>
      </w:rPr>
    </w:lvl>
    <w:lvl w:ilvl="4">
      <w:start w:val="0"/>
      <w:numFmt w:val="bullet"/>
      <w:lvlText w:val="•"/>
      <w:lvlJc w:val="left"/>
      <w:pPr>
        <w:ind w:left="2404" w:hanging="603"/>
      </w:pPr>
      <w:rPr>
        <w:rFonts w:hint="default"/>
        <w:lang w:val="zh-CN" w:eastAsia="zh-CN" w:bidi="zh-CN"/>
      </w:rPr>
    </w:lvl>
    <w:lvl w:ilvl="5">
      <w:start w:val="0"/>
      <w:numFmt w:val="bullet"/>
      <w:lvlText w:val="•"/>
      <w:lvlJc w:val="left"/>
      <w:pPr>
        <w:ind w:left="3309" w:hanging="603"/>
      </w:pPr>
      <w:rPr>
        <w:rFonts w:hint="default"/>
        <w:lang w:val="zh-CN" w:eastAsia="zh-CN" w:bidi="zh-CN"/>
      </w:rPr>
    </w:lvl>
    <w:lvl w:ilvl="6">
      <w:start w:val="0"/>
      <w:numFmt w:val="bullet"/>
      <w:lvlText w:val="•"/>
      <w:lvlJc w:val="left"/>
      <w:pPr>
        <w:ind w:left="4213" w:hanging="603"/>
      </w:pPr>
      <w:rPr>
        <w:rFonts w:hint="default"/>
        <w:lang w:val="zh-CN" w:eastAsia="zh-CN" w:bidi="zh-CN"/>
      </w:rPr>
    </w:lvl>
    <w:lvl w:ilvl="7">
      <w:start w:val="0"/>
      <w:numFmt w:val="bullet"/>
      <w:lvlText w:val="•"/>
      <w:lvlJc w:val="left"/>
      <w:pPr>
        <w:ind w:left="5118" w:hanging="603"/>
      </w:pPr>
      <w:rPr>
        <w:rFonts w:hint="default"/>
        <w:lang w:val="zh-CN" w:eastAsia="zh-CN" w:bidi="zh-CN"/>
      </w:rPr>
    </w:lvl>
    <w:lvl w:ilvl="8">
      <w:start w:val="0"/>
      <w:numFmt w:val="bullet"/>
      <w:lvlText w:val="•"/>
      <w:lvlJc w:val="left"/>
      <w:pPr>
        <w:ind w:left="6022" w:hanging="603"/>
      </w:pPr>
      <w:rPr>
        <w:rFonts w:hint="default"/>
        <w:lang w:val="zh-CN" w:eastAsia="zh-CN" w:bidi="zh-CN"/>
      </w:rPr>
    </w:lvl>
  </w:abstractNum>
  <w:abstractNum w:abstractNumId="22">
    <w:nsid w:val="4ACE8AED"/>
    <w:multiLevelType w:val="hybridMultilevel"/>
    <w:tmpl w:val="00000000"/>
    <w:lvl w:ilvl="0">
      <w:start w:val="1"/>
      <w:numFmt w:val="decimal"/>
      <w:lvlText w:val="（%1）"/>
      <w:lvlJc w:val="left"/>
      <w:pPr>
        <w:ind w:left="220" w:hanging="611"/>
        <w:jc w:val="left"/>
      </w:pPr>
      <w:rPr>
        <w:rFonts w:ascii="宋体" w:eastAsia="宋体" w:hAnsi="宋体" w:cs="宋体" w:hint="default"/>
        <w:color w:val="231F20"/>
        <w:spacing w:val="-5"/>
        <w:w w:val="100"/>
        <w:sz w:val="22"/>
        <w:szCs w:val="22"/>
        <w:lang w:val="zh-CN" w:eastAsia="zh-CN" w:bidi="zh-CN"/>
      </w:rPr>
    </w:lvl>
    <w:lvl w:ilvl="1">
      <w:start w:val="0"/>
      <w:numFmt w:val="bullet"/>
      <w:lvlText w:val="•"/>
      <w:lvlJc w:val="left"/>
      <w:pPr>
        <w:ind w:left="981" w:hanging="611"/>
      </w:pPr>
      <w:rPr>
        <w:rFonts w:hint="default"/>
        <w:lang w:val="zh-CN" w:eastAsia="zh-CN" w:bidi="zh-CN"/>
      </w:rPr>
    </w:lvl>
    <w:lvl w:ilvl="2">
      <w:start w:val="0"/>
      <w:numFmt w:val="bullet"/>
      <w:lvlText w:val="•"/>
      <w:lvlJc w:val="left"/>
      <w:pPr>
        <w:ind w:left="1742" w:hanging="611"/>
      </w:pPr>
      <w:rPr>
        <w:rFonts w:hint="default"/>
        <w:lang w:val="zh-CN" w:eastAsia="zh-CN" w:bidi="zh-CN"/>
      </w:rPr>
    </w:lvl>
    <w:lvl w:ilvl="3">
      <w:start w:val="0"/>
      <w:numFmt w:val="bullet"/>
      <w:lvlText w:val="•"/>
      <w:lvlJc w:val="left"/>
      <w:pPr>
        <w:ind w:left="2503" w:hanging="611"/>
      </w:pPr>
      <w:rPr>
        <w:rFonts w:hint="default"/>
        <w:lang w:val="zh-CN" w:eastAsia="zh-CN" w:bidi="zh-CN"/>
      </w:rPr>
    </w:lvl>
    <w:lvl w:ilvl="4">
      <w:start w:val="0"/>
      <w:numFmt w:val="bullet"/>
      <w:lvlText w:val="•"/>
      <w:lvlJc w:val="left"/>
      <w:pPr>
        <w:ind w:left="3264" w:hanging="611"/>
      </w:pPr>
      <w:rPr>
        <w:rFonts w:hint="default"/>
        <w:lang w:val="zh-CN" w:eastAsia="zh-CN" w:bidi="zh-CN"/>
      </w:rPr>
    </w:lvl>
    <w:lvl w:ilvl="5">
      <w:start w:val="0"/>
      <w:numFmt w:val="bullet"/>
      <w:lvlText w:val="•"/>
      <w:lvlJc w:val="left"/>
      <w:pPr>
        <w:ind w:left="4025" w:hanging="611"/>
      </w:pPr>
      <w:rPr>
        <w:rFonts w:hint="default"/>
        <w:lang w:val="zh-CN" w:eastAsia="zh-CN" w:bidi="zh-CN"/>
      </w:rPr>
    </w:lvl>
    <w:lvl w:ilvl="6">
      <w:start w:val="0"/>
      <w:numFmt w:val="bullet"/>
      <w:lvlText w:val="•"/>
      <w:lvlJc w:val="left"/>
      <w:pPr>
        <w:ind w:left="4787" w:hanging="611"/>
      </w:pPr>
      <w:rPr>
        <w:rFonts w:hint="default"/>
        <w:lang w:val="zh-CN" w:eastAsia="zh-CN" w:bidi="zh-CN"/>
      </w:rPr>
    </w:lvl>
    <w:lvl w:ilvl="7">
      <w:start w:val="0"/>
      <w:numFmt w:val="bullet"/>
      <w:lvlText w:val="•"/>
      <w:lvlJc w:val="left"/>
      <w:pPr>
        <w:ind w:left="5548" w:hanging="611"/>
      </w:pPr>
      <w:rPr>
        <w:rFonts w:hint="default"/>
        <w:lang w:val="zh-CN" w:eastAsia="zh-CN" w:bidi="zh-CN"/>
      </w:rPr>
    </w:lvl>
    <w:lvl w:ilvl="8">
      <w:start w:val="0"/>
      <w:numFmt w:val="bullet"/>
      <w:lvlText w:val="•"/>
      <w:lvlJc w:val="left"/>
      <w:pPr>
        <w:ind w:left="6309" w:hanging="611"/>
      </w:pPr>
      <w:rPr>
        <w:rFonts w:hint="default"/>
        <w:lang w:val="zh-CN" w:eastAsia="zh-CN" w:bidi="zh-CN"/>
      </w:rPr>
    </w:lvl>
  </w:abstractNum>
  <w:abstractNum w:abstractNumId="23">
    <w:nsid w:val="4D180BC8"/>
    <w:multiLevelType w:val="hybridMultilevel"/>
    <w:tmpl w:val="00000000"/>
    <w:lvl w:ilvl="0">
      <w:start w:val="4"/>
      <w:numFmt w:val="decimal"/>
      <w:lvlText w:val="%1"/>
      <w:lvlJc w:val="left"/>
      <w:pPr>
        <w:ind w:left="640" w:hanging="420"/>
        <w:jc w:val="left"/>
      </w:pPr>
      <w:rPr>
        <w:rFonts w:hint="default"/>
        <w:lang w:val="zh-CN" w:eastAsia="zh-CN" w:bidi="zh-CN"/>
      </w:rPr>
    </w:lvl>
    <w:lvl w:ilvl="1">
      <w:start w:val="1"/>
      <w:numFmt w:val="decimal"/>
      <w:lvlText w:val="%1.%2"/>
      <w:lvlJc w:val="left"/>
      <w:pPr>
        <w:ind w:left="640" w:hanging="420"/>
        <w:jc w:val="right"/>
      </w:pPr>
      <w:rPr>
        <w:rFonts w:ascii="Times New Roman" w:eastAsia="Times New Roman" w:hAnsi="Times New Roman" w:cs="Times New Roman" w:hint="default"/>
        <w:color w:val="231F20"/>
        <w:w w:val="100"/>
        <w:sz w:val="24"/>
        <w:szCs w:val="24"/>
        <w:lang w:val="zh-CN" w:eastAsia="zh-CN" w:bidi="zh-CN"/>
      </w:rPr>
    </w:lvl>
    <w:lvl w:ilvl="2">
      <w:start w:val="1"/>
      <w:numFmt w:val="decimal"/>
      <w:lvlText w:val="%1.%2.%3"/>
      <w:lvlJc w:val="left"/>
      <w:pPr>
        <w:ind w:left="1320" w:hanging="514"/>
        <w:jc w:val="left"/>
      </w:pPr>
      <w:rPr>
        <w:rFonts w:ascii="Times New Roman" w:eastAsia="Times New Roman" w:hAnsi="Times New Roman" w:cs="Times New Roman" w:hint="default"/>
        <w:color w:val="231F20"/>
        <w:w w:val="100"/>
        <w:sz w:val="24"/>
        <w:szCs w:val="24"/>
        <w:lang w:val="zh-CN" w:eastAsia="zh-CN" w:bidi="zh-CN"/>
      </w:rPr>
    </w:lvl>
    <w:lvl w:ilvl="3">
      <w:start w:val="0"/>
      <w:numFmt w:val="bullet"/>
      <w:lvlText w:val="•"/>
      <w:lvlJc w:val="left"/>
      <w:pPr>
        <w:ind w:left="2256" w:hanging="514"/>
      </w:pPr>
      <w:rPr>
        <w:rFonts w:hint="default"/>
        <w:lang w:val="zh-CN" w:eastAsia="zh-CN" w:bidi="zh-CN"/>
      </w:rPr>
    </w:lvl>
    <w:lvl w:ilvl="4">
      <w:start w:val="0"/>
      <w:numFmt w:val="bullet"/>
      <w:lvlText w:val="•"/>
      <w:lvlJc w:val="left"/>
      <w:pPr>
        <w:ind w:left="3052" w:hanging="514"/>
      </w:pPr>
      <w:rPr>
        <w:rFonts w:hint="default"/>
        <w:lang w:val="zh-CN" w:eastAsia="zh-CN" w:bidi="zh-CN"/>
      </w:rPr>
    </w:lvl>
    <w:lvl w:ilvl="5">
      <w:start w:val="0"/>
      <w:numFmt w:val="bullet"/>
      <w:lvlText w:val="•"/>
      <w:lvlJc w:val="left"/>
      <w:pPr>
        <w:ind w:left="3849" w:hanging="514"/>
      </w:pPr>
      <w:rPr>
        <w:rFonts w:hint="default"/>
        <w:lang w:val="zh-CN" w:eastAsia="zh-CN" w:bidi="zh-CN"/>
      </w:rPr>
    </w:lvl>
    <w:lvl w:ilvl="6">
      <w:start w:val="0"/>
      <w:numFmt w:val="bullet"/>
      <w:lvlText w:val="•"/>
      <w:lvlJc w:val="left"/>
      <w:pPr>
        <w:ind w:left="4645" w:hanging="514"/>
      </w:pPr>
      <w:rPr>
        <w:rFonts w:hint="default"/>
        <w:lang w:val="zh-CN" w:eastAsia="zh-CN" w:bidi="zh-CN"/>
      </w:rPr>
    </w:lvl>
    <w:lvl w:ilvl="7">
      <w:start w:val="0"/>
      <w:numFmt w:val="bullet"/>
      <w:lvlText w:val="•"/>
      <w:lvlJc w:val="left"/>
      <w:pPr>
        <w:ind w:left="5442" w:hanging="514"/>
      </w:pPr>
      <w:rPr>
        <w:rFonts w:hint="default"/>
        <w:lang w:val="zh-CN" w:eastAsia="zh-CN" w:bidi="zh-CN"/>
      </w:rPr>
    </w:lvl>
    <w:lvl w:ilvl="8">
      <w:start w:val="0"/>
      <w:numFmt w:val="bullet"/>
      <w:lvlText w:val="•"/>
      <w:lvlJc w:val="left"/>
      <w:pPr>
        <w:ind w:left="6238" w:hanging="514"/>
      </w:pPr>
      <w:rPr>
        <w:rFonts w:hint="default"/>
        <w:lang w:val="zh-CN" w:eastAsia="zh-CN" w:bidi="zh-CN"/>
      </w:rPr>
    </w:lvl>
  </w:abstractNum>
  <w:abstractNum w:abstractNumId="24">
    <w:nsid w:val="4D1B8C57"/>
    <w:multiLevelType w:val="hybridMultilevel"/>
    <w:tmpl w:val="00000000"/>
    <w:lvl w:ilvl="0">
      <w:start w:val="1"/>
      <w:numFmt w:val="decimal"/>
      <w:lvlText w:val="%1."/>
      <w:lvlJc w:val="left"/>
      <w:pPr>
        <w:ind w:left="220" w:hanging="308"/>
        <w:jc w:val="right"/>
      </w:pPr>
      <w:rPr>
        <w:rFonts w:ascii="Times New Roman" w:eastAsia="Times New Roman" w:hAnsi="Times New Roman" w:cs="Times New Roman" w:hint="default"/>
        <w:color w:val="231F20"/>
        <w:w w:val="100"/>
        <w:sz w:val="24"/>
        <w:szCs w:val="24"/>
        <w:lang w:val="zh-CN" w:eastAsia="zh-CN" w:bidi="zh-CN"/>
      </w:rPr>
    </w:lvl>
    <w:lvl w:ilvl="1">
      <w:start w:val="0"/>
      <w:numFmt w:val="bullet"/>
      <w:lvlText w:val="•"/>
      <w:lvlJc w:val="left"/>
      <w:pPr>
        <w:ind w:left="981" w:hanging="308"/>
      </w:pPr>
      <w:rPr>
        <w:rFonts w:hint="default"/>
        <w:lang w:val="zh-CN" w:eastAsia="zh-CN" w:bidi="zh-CN"/>
      </w:rPr>
    </w:lvl>
    <w:lvl w:ilvl="2">
      <w:start w:val="0"/>
      <w:numFmt w:val="bullet"/>
      <w:lvlText w:val="•"/>
      <w:lvlJc w:val="left"/>
      <w:pPr>
        <w:ind w:left="1742" w:hanging="308"/>
      </w:pPr>
      <w:rPr>
        <w:rFonts w:hint="default"/>
        <w:lang w:val="zh-CN" w:eastAsia="zh-CN" w:bidi="zh-CN"/>
      </w:rPr>
    </w:lvl>
    <w:lvl w:ilvl="3">
      <w:start w:val="0"/>
      <w:numFmt w:val="bullet"/>
      <w:lvlText w:val="•"/>
      <w:lvlJc w:val="left"/>
      <w:pPr>
        <w:ind w:left="2503" w:hanging="308"/>
      </w:pPr>
      <w:rPr>
        <w:rFonts w:hint="default"/>
        <w:lang w:val="zh-CN" w:eastAsia="zh-CN" w:bidi="zh-CN"/>
      </w:rPr>
    </w:lvl>
    <w:lvl w:ilvl="4">
      <w:start w:val="0"/>
      <w:numFmt w:val="bullet"/>
      <w:lvlText w:val="•"/>
      <w:lvlJc w:val="left"/>
      <w:pPr>
        <w:ind w:left="3264" w:hanging="308"/>
      </w:pPr>
      <w:rPr>
        <w:rFonts w:hint="default"/>
        <w:lang w:val="zh-CN" w:eastAsia="zh-CN" w:bidi="zh-CN"/>
      </w:rPr>
    </w:lvl>
    <w:lvl w:ilvl="5">
      <w:start w:val="0"/>
      <w:numFmt w:val="bullet"/>
      <w:lvlText w:val="•"/>
      <w:lvlJc w:val="left"/>
      <w:pPr>
        <w:ind w:left="4025" w:hanging="308"/>
      </w:pPr>
      <w:rPr>
        <w:rFonts w:hint="default"/>
        <w:lang w:val="zh-CN" w:eastAsia="zh-CN" w:bidi="zh-CN"/>
      </w:rPr>
    </w:lvl>
    <w:lvl w:ilvl="6">
      <w:start w:val="0"/>
      <w:numFmt w:val="bullet"/>
      <w:lvlText w:val="•"/>
      <w:lvlJc w:val="left"/>
      <w:pPr>
        <w:ind w:left="4787" w:hanging="308"/>
      </w:pPr>
      <w:rPr>
        <w:rFonts w:hint="default"/>
        <w:lang w:val="zh-CN" w:eastAsia="zh-CN" w:bidi="zh-CN"/>
      </w:rPr>
    </w:lvl>
    <w:lvl w:ilvl="7">
      <w:start w:val="0"/>
      <w:numFmt w:val="bullet"/>
      <w:lvlText w:val="•"/>
      <w:lvlJc w:val="left"/>
      <w:pPr>
        <w:ind w:left="5548" w:hanging="308"/>
      </w:pPr>
      <w:rPr>
        <w:rFonts w:hint="default"/>
        <w:lang w:val="zh-CN" w:eastAsia="zh-CN" w:bidi="zh-CN"/>
      </w:rPr>
    </w:lvl>
    <w:lvl w:ilvl="8">
      <w:start w:val="0"/>
      <w:numFmt w:val="bullet"/>
      <w:lvlText w:val="•"/>
      <w:lvlJc w:val="left"/>
      <w:pPr>
        <w:ind w:left="6309" w:hanging="308"/>
      </w:pPr>
      <w:rPr>
        <w:rFonts w:hint="default"/>
        <w:lang w:val="zh-CN" w:eastAsia="zh-CN" w:bidi="zh-CN"/>
      </w:rPr>
    </w:lvl>
  </w:abstractNum>
  <w:abstractNum w:abstractNumId="25">
    <w:nsid w:val="4EF9B674"/>
    <w:multiLevelType w:val="hybridMultilevel"/>
    <w:tmpl w:val="00000000"/>
    <w:lvl w:ilvl="0">
      <w:start w:val="1"/>
      <w:numFmt w:val="decimal"/>
      <w:lvlText w:val="%1."/>
      <w:lvlJc w:val="left"/>
      <w:pPr>
        <w:ind w:left="1000" w:hanging="300"/>
        <w:jc w:val="right"/>
      </w:pPr>
      <w:rPr>
        <w:rFonts w:ascii="Times New Roman" w:eastAsia="Times New Roman" w:hAnsi="Times New Roman" w:cs="Times New Roman" w:hint="default"/>
        <w:color w:val="231F20"/>
        <w:w w:val="100"/>
        <w:sz w:val="24"/>
        <w:szCs w:val="24"/>
        <w:lang w:val="zh-CN" w:eastAsia="zh-CN" w:bidi="zh-CN"/>
      </w:rPr>
    </w:lvl>
    <w:lvl w:ilvl="1">
      <w:start w:val="0"/>
      <w:numFmt w:val="bullet"/>
      <w:lvlText w:val="•"/>
      <w:lvlJc w:val="left"/>
      <w:pPr>
        <w:ind w:left="1683" w:hanging="300"/>
      </w:pPr>
      <w:rPr>
        <w:rFonts w:hint="default"/>
        <w:lang w:val="zh-CN" w:eastAsia="zh-CN" w:bidi="zh-CN"/>
      </w:rPr>
    </w:lvl>
    <w:lvl w:ilvl="2">
      <w:start w:val="0"/>
      <w:numFmt w:val="bullet"/>
      <w:lvlText w:val="•"/>
      <w:lvlJc w:val="left"/>
      <w:pPr>
        <w:ind w:left="2366" w:hanging="300"/>
      </w:pPr>
      <w:rPr>
        <w:rFonts w:hint="default"/>
        <w:lang w:val="zh-CN" w:eastAsia="zh-CN" w:bidi="zh-CN"/>
      </w:rPr>
    </w:lvl>
    <w:lvl w:ilvl="3">
      <w:start w:val="0"/>
      <w:numFmt w:val="bullet"/>
      <w:lvlText w:val="•"/>
      <w:lvlJc w:val="left"/>
      <w:pPr>
        <w:ind w:left="3049" w:hanging="300"/>
      </w:pPr>
      <w:rPr>
        <w:rFonts w:hint="default"/>
        <w:lang w:val="zh-CN" w:eastAsia="zh-CN" w:bidi="zh-CN"/>
      </w:rPr>
    </w:lvl>
    <w:lvl w:ilvl="4">
      <w:start w:val="0"/>
      <w:numFmt w:val="bullet"/>
      <w:lvlText w:val="•"/>
      <w:lvlJc w:val="left"/>
      <w:pPr>
        <w:ind w:left="3732" w:hanging="300"/>
      </w:pPr>
      <w:rPr>
        <w:rFonts w:hint="default"/>
        <w:lang w:val="zh-CN" w:eastAsia="zh-CN" w:bidi="zh-CN"/>
      </w:rPr>
    </w:lvl>
    <w:lvl w:ilvl="5">
      <w:start w:val="0"/>
      <w:numFmt w:val="bullet"/>
      <w:lvlText w:val="•"/>
      <w:lvlJc w:val="left"/>
      <w:pPr>
        <w:ind w:left="4415" w:hanging="300"/>
      </w:pPr>
      <w:rPr>
        <w:rFonts w:hint="default"/>
        <w:lang w:val="zh-CN" w:eastAsia="zh-CN" w:bidi="zh-CN"/>
      </w:rPr>
    </w:lvl>
    <w:lvl w:ilvl="6">
      <w:start w:val="0"/>
      <w:numFmt w:val="bullet"/>
      <w:lvlText w:val="•"/>
      <w:lvlJc w:val="left"/>
      <w:pPr>
        <w:ind w:left="5099" w:hanging="300"/>
      </w:pPr>
      <w:rPr>
        <w:rFonts w:hint="default"/>
        <w:lang w:val="zh-CN" w:eastAsia="zh-CN" w:bidi="zh-CN"/>
      </w:rPr>
    </w:lvl>
    <w:lvl w:ilvl="7">
      <w:start w:val="0"/>
      <w:numFmt w:val="bullet"/>
      <w:lvlText w:val="•"/>
      <w:lvlJc w:val="left"/>
      <w:pPr>
        <w:ind w:left="5782" w:hanging="300"/>
      </w:pPr>
      <w:rPr>
        <w:rFonts w:hint="default"/>
        <w:lang w:val="zh-CN" w:eastAsia="zh-CN" w:bidi="zh-CN"/>
      </w:rPr>
    </w:lvl>
    <w:lvl w:ilvl="8">
      <w:start w:val="0"/>
      <w:numFmt w:val="bullet"/>
      <w:lvlText w:val="•"/>
      <w:lvlJc w:val="left"/>
      <w:pPr>
        <w:ind w:left="6465" w:hanging="300"/>
      </w:pPr>
      <w:rPr>
        <w:rFonts w:hint="default"/>
        <w:lang w:val="zh-CN" w:eastAsia="zh-CN" w:bidi="zh-CN"/>
      </w:rPr>
    </w:lvl>
  </w:abstractNum>
  <w:abstractNum w:abstractNumId="26">
    <w:nsid w:val="50827F40"/>
    <w:multiLevelType w:val="hybridMultilevel"/>
    <w:tmpl w:val="00000000"/>
    <w:lvl w:ilvl="0">
      <w:start w:val="1"/>
      <w:numFmt w:val="decimal"/>
      <w:lvlText w:val="（%1）"/>
      <w:lvlJc w:val="left"/>
      <w:pPr>
        <w:ind w:left="220" w:hanging="601"/>
        <w:jc w:val="left"/>
      </w:pPr>
      <w:rPr>
        <w:rFonts w:ascii="宋体" w:eastAsia="宋体" w:hAnsi="宋体" w:cs="宋体" w:hint="default"/>
        <w:color w:val="231F20"/>
        <w:spacing w:val="-17"/>
        <w:w w:val="100"/>
        <w:sz w:val="22"/>
        <w:szCs w:val="22"/>
        <w:lang w:val="zh-CN" w:eastAsia="zh-CN" w:bidi="zh-CN"/>
      </w:rPr>
    </w:lvl>
    <w:lvl w:ilvl="1">
      <w:start w:val="1"/>
      <w:numFmt w:val="decimal"/>
      <w:lvlText w:val="%2."/>
      <w:lvlJc w:val="left"/>
      <w:pPr>
        <w:ind w:left="1020" w:hanging="321"/>
        <w:jc w:val="right"/>
      </w:pPr>
      <w:rPr>
        <w:rFonts w:ascii="Arial" w:eastAsia="Arial" w:hAnsi="Arial" w:cs="Arial" w:hint="default"/>
        <w:color w:val="231F20"/>
        <w:spacing w:val="-14"/>
        <w:w w:val="100"/>
        <w:sz w:val="24"/>
        <w:szCs w:val="24"/>
        <w:lang w:val="zh-CN" w:eastAsia="zh-CN" w:bidi="zh-CN"/>
      </w:rPr>
    </w:lvl>
    <w:lvl w:ilvl="2">
      <w:start w:val="0"/>
      <w:numFmt w:val="bullet"/>
      <w:lvlText w:val="•"/>
      <w:lvlJc w:val="left"/>
      <w:pPr>
        <w:ind w:left="1776" w:hanging="321"/>
      </w:pPr>
      <w:rPr>
        <w:rFonts w:hint="default"/>
        <w:lang w:val="zh-CN" w:eastAsia="zh-CN" w:bidi="zh-CN"/>
      </w:rPr>
    </w:lvl>
    <w:lvl w:ilvl="3">
      <w:start w:val="0"/>
      <w:numFmt w:val="bullet"/>
      <w:lvlText w:val="•"/>
      <w:lvlJc w:val="left"/>
      <w:pPr>
        <w:ind w:left="2533" w:hanging="321"/>
      </w:pPr>
      <w:rPr>
        <w:rFonts w:hint="default"/>
        <w:lang w:val="zh-CN" w:eastAsia="zh-CN" w:bidi="zh-CN"/>
      </w:rPr>
    </w:lvl>
    <w:lvl w:ilvl="4">
      <w:start w:val="0"/>
      <w:numFmt w:val="bullet"/>
      <w:lvlText w:val="•"/>
      <w:lvlJc w:val="left"/>
      <w:pPr>
        <w:ind w:left="3290" w:hanging="321"/>
      </w:pPr>
      <w:rPr>
        <w:rFonts w:hint="default"/>
        <w:lang w:val="zh-CN" w:eastAsia="zh-CN" w:bidi="zh-CN"/>
      </w:rPr>
    </w:lvl>
    <w:lvl w:ilvl="5">
      <w:start w:val="0"/>
      <w:numFmt w:val="bullet"/>
      <w:lvlText w:val="•"/>
      <w:lvlJc w:val="left"/>
      <w:pPr>
        <w:ind w:left="4047" w:hanging="321"/>
      </w:pPr>
      <w:rPr>
        <w:rFonts w:hint="default"/>
        <w:lang w:val="zh-CN" w:eastAsia="zh-CN" w:bidi="zh-CN"/>
      </w:rPr>
    </w:lvl>
    <w:lvl w:ilvl="6">
      <w:start w:val="0"/>
      <w:numFmt w:val="bullet"/>
      <w:lvlText w:val="•"/>
      <w:lvlJc w:val="left"/>
      <w:pPr>
        <w:ind w:left="4804" w:hanging="321"/>
      </w:pPr>
      <w:rPr>
        <w:rFonts w:hint="default"/>
        <w:lang w:val="zh-CN" w:eastAsia="zh-CN" w:bidi="zh-CN"/>
      </w:rPr>
    </w:lvl>
    <w:lvl w:ilvl="7">
      <w:start w:val="0"/>
      <w:numFmt w:val="bullet"/>
      <w:lvlText w:val="•"/>
      <w:lvlJc w:val="left"/>
      <w:pPr>
        <w:ind w:left="5561" w:hanging="321"/>
      </w:pPr>
      <w:rPr>
        <w:rFonts w:hint="default"/>
        <w:lang w:val="zh-CN" w:eastAsia="zh-CN" w:bidi="zh-CN"/>
      </w:rPr>
    </w:lvl>
    <w:lvl w:ilvl="8">
      <w:start w:val="0"/>
      <w:numFmt w:val="bullet"/>
      <w:lvlText w:val="•"/>
      <w:lvlJc w:val="left"/>
      <w:pPr>
        <w:ind w:left="6317" w:hanging="321"/>
      </w:pPr>
      <w:rPr>
        <w:rFonts w:hint="default"/>
        <w:lang w:val="zh-CN" w:eastAsia="zh-CN" w:bidi="zh-CN"/>
      </w:rPr>
    </w:lvl>
  </w:abstractNum>
  <w:abstractNum w:abstractNumId="27">
    <w:nsid w:val="51AD871F"/>
    <w:multiLevelType w:val="hybridMultilevel"/>
    <w:tmpl w:val="00000000"/>
    <w:lvl w:ilvl="0">
      <w:start w:val="2"/>
      <w:numFmt w:val="decimal"/>
      <w:lvlText w:val="（%1）"/>
      <w:lvlJc w:val="left"/>
      <w:pPr>
        <w:ind w:left="220" w:hanging="601"/>
        <w:jc w:val="left"/>
      </w:pPr>
      <w:rPr>
        <w:rFonts w:ascii="宋体" w:eastAsia="宋体" w:hAnsi="宋体" w:cs="宋体" w:hint="default"/>
        <w:color w:val="231F20"/>
        <w:spacing w:val="-16"/>
        <w:w w:val="100"/>
        <w:sz w:val="22"/>
        <w:szCs w:val="22"/>
        <w:lang w:val="zh-CN" w:eastAsia="zh-CN" w:bidi="zh-CN"/>
      </w:rPr>
    </w:lvl>
    <w:lvl w:ilvl="1">
      <w:start w:val="0"/>
      <w:numFmt w:val="bullet"/>
      <w:lvlText w:val="•"/>
      <w:lvlJc w:val="left"/>
      <w:pPr>
        <w:ind w:left="981" w:hanging="601"/>
      </w:pPr>
      <w:rPr>
        <w:rFonts w:hint="default"/>
        <w:lang w:val="zh-CN" w:eastAsia="zh-CN" w:bidi="zh-CN"/>
      </w:rPr>
    </w:lvl>
    <w:lvl w:ilvl="2">
      <w:start w:val="0"/>
      <w:numFmt w:val="bullet"/>
      <w:lvlText w:val="•"/>
      <w:lvlJc w:val="left"/>
      <w:pPr>
        <w:ind w:left="1742" w:hanging="601"/>
      </w:pPr>
      <w:rPr>
        <w:rFonts w:hint="default"/>
        <w:lang w:val="zh-CN" w:eastAsia="zh-CN" w:bidi="zh-CN"/>
      </w:rPr>
    </w:lvl>
    <w:lvl w:ilvl="3">
      <w:start w:val="0"/>
      <w:numFmt w:val="bullet"/>
      <w:lvlText w:val="•"/>
      <w:lvlJc w:val="left"/>
      <w:pPr>
        <w:ind w:left="2503" w:hanging="601"/>
      </w:pPr>
      <w:rPr>
        <w:rFonts w:hint="default"/>
        <w:lang w:val="zh-CN" w:eastAsia="zh-CN" w:bidi="zh-CN"/>
      </w:rPr>
    </w:lvl>
    <w:lvl w:ilvl="4">
      <w:start w:val="0"/>
      <w:numFmt w:val="bullet"/>
      <w:lvlText w:val="•"/>
      <w:lvlJc w:val="left"/>
      <w:pPr>
        <w:ind w:left="3264" w:hanging="601"/>
      </w:pPr>
      <w:rPr>
        <w:rFonts w:hint="default"/>
        <w:lang w:val="zh-CN" w:eastAsia="zh-CN" w:bidi="zh-CN"/>
      </w:rPr>
    </w:lvl>
    <w:lvl w:ilvl="5">
      <w:start w:val="0"/>
      <w:numFmt w:val="bullet"/>
      <w:lvlText w:val="•"/>
      <w:lvlJc w:val="left"/>
      <w:pPr>
        <w:ind w:left="4025" w:hanging="601"/>
      </w:pPr>
      <w:rPr>
        <w:rFonts w:hint="default"/>
        <w:lang w:val="zh-CN" w:eastAsia="zh-CN" w:bidi="zh-CN"/>
      </w:rPr>
    </w:lvl>
    <w:lvl w:ilvl="6">
      <w:start w:val="0"/>
      <w:numFmt w:val="bullet"/>
      <w:lvlText w:val="•"/>
      <w:lvlJc w:val="left"/>
      <w:pPr>
        <w:ind w:left="4787" w:hanging="601"/>
      </w:pPr>
      <w:rPr>
        <w:rFonts w:hint="default"/>
        <w:lang w:val="zh-CN" w:eastAsia="zh-CN" w:bidi="zh-CN"/>
      </w:rPr>
    </w:lvl>
    <w:lvl w:ilvl="7">
      <w:start w:val="0"/>
      <w:numFmt w:val="bullet"/>
      <w:lvlText w:val="•"/>
      <w:lvlJc w:val="left"/>
      <w:pPr>
        <w:ind w:left="5548" w:hanging="601"/>
      </w:pPr>
      <w:rPr>
        <w:rFonts w:hint="default"/>
        <w:lang w:val="zh-CN" w:eastAsia="zh-CN" w:bidi="zh-CN"/>
      </w:rPr>
    </w:lvl>
    <w:lvl w:ilvl="8">
      <w:start w:val="0"/>
      <w:numFmt w:val="bullet"/>
      <w:lvlText w:val="•"/>
      <w:lvlJc w:val="left"/>
      <w:pPr>
        <w:ind w:left="6309" w:hanging="601"/>
      </w:pPr>
      <w:rPr>
        <w:rFonts w:hint="default"/>
        <w:lang w:val="zh-CN" w:eastAsia="zh-CN" w:bidi="zh-CN"/>
      </w:rPr>
    </w:lvl>
  </w:abstractNum>
  <w:abstractNum w:abstractNumId="28">
    <w:nsid w:val="628C5C58"/>
    <w:multiLevelType w:val="hybridMultilevel"/>
    <w:tmpl w:val="00000000"/>
    <w:lvl w:ilvl="0">
      <w:start w:val="1"/>
      <w:numFmt w:val="decimal"/>
      <w:lvlText w:val="%1"/>
      <w:lvlJc w:val="left"/>
      <w:pPr>
        <w:ind w:left="660" w:hanging="423"/>
        <w:jc w:val="left"/>
      </w:pPr>
      <w:rPr>
        <w:rFonts w:hint="default"/>
        <w:lang w:val="zh-CN" w:eastAsia="zh-CN" w:bidi="zh-CN"/>
      </w:rPr>
    </w:lvl>
    <w:lvl w:ilvl="1">
      <w:start w:val="1"/>
      <w:numFmt w:val="decimal"/>
      <w:lvlText w:val="%1.%2"/>
      <w:lvlJc w:val="left"/>
      <w:pPr>
        <w:ind w:left="660" w:hanging="423"/>
        <w:jc w:val="right"/>
      </w:pPr>
      <w:rPr>
        <w:rFonts w:ascii="Times New Roman" w:eastAsia="Times New Roman" w:hAnsi="Times New Roman" w:cs="Times New Roman" w:hint="default"/>
        <w:color w:val="231F20"/>
        <w:w w:val="100"/>
        <w:sz w:val="24"/>
        <w:szCs w:val="24"/>
        <w:lang w:val="zh-CN" w:eastAsia="zh-CN" w:bidi="zh-CN"/>
      </w:rPr>
    </w:lvl>
    <w:lvl w:ilvl="2">
      <w:start w:val="1"/>
      <w:numFmt w:val="decimal"/>
      <w:lvlText w:val="%1.%2.%3"/>
      <w:lvlJc w:val="left"/>
      <w:pPr>
        <w:ind w:left="1320" w:hanging="607"/>
        <w:jc w:val="left"/>
      </w:pPr>
      <w:rPr>
        <w:rFonts w:ascii="Times New Roman" w:eastAsia="Times New Roman" w:hAnsi="Times New Roman" w:cs="Times New Roman" w:hint="default"/>
        <w:color w:val="231F20"/>
        <w:spacing w:val="-28"/>
        <w:w w:val="99"/>
        <w:sz w:val="24"/>
        <w:szCs w:val="24"/>
        <w:lang w:val="zh-CN" w:eastAsia="zh-CN" w:bidi="zh-CN"/>
      </w:rPr>
    </w:lvl>
    <w:lvl w:ilvl="3">
      <w:start w:val="0"/>
      <w:numFmt w:val="bullet"/>
      <w:lvlText w:val="•"/>
      <w:lvlJc w:val="left"/>
      <w:pPr>
        <w:ind w:left="1500" w:hanging="607"/>
      </w:pPr>
      <w:rPr>
        <w:rFonts w:hint="default"/>
        <w:lang w:val="zh-CN" w:eastAsia="zh-CN" w:bidi="zh-CN"/>
      </w:rPr>
    </w:lvl>
    <w:lvl w:ilvl="4">
      <w:start w:val="0"/>
      <w:numFmt w:val="bullet"/>
      <w:lvlText w:val="•"/>
      <w:lvlJc w:val="left"/>
      <w:pPr>
        <w:ind w:left="2404" w:hanging="607"/>
      </w:pPr>
      <w:rPr>
        <w:rFonts w:hint="default"/>
        <w:lang w:val="zh-CN" w:eastAsia="zh-CN" w:bidi="zh-CN"/>
      </w:rPr>
    </w:lvl>
    <w:lvl w:ilvl="5">
      <w:start w:val="0"/>
      <w:numFmt w:val="bullet"/>
      <w:lvlText w:val="•"/>
      <w:lvlJc w:val="left"/>
      <w:pPr>
        <w:ind w:left="3309" w:hanging="607"/>
      </w:pPr>
      <w:rPr>
        <w:rFonts w:hint="default"/>
        <w:lang w:val="zh-CN" w:eastAsia="zh-CN" w:bidi="zh-CN"/>
      </w:rPr>
    </w:lvl>
    <w:lvl w:ilvl="6">
      <w:start w:val="0"/>
      <w:numFmt w:val="bullet"/>
      <w:lvlText w:val="•"/>
      <w:lvlJc w:val="left"/>
      <w:pPr>
        <w:ind w:left="4213" w:hanging="607"/>
      </w:pPr>
      <w:rPr>
        <w:rFonts w:hint="default"/>
        <w:lang w:val="zh-CN" w:eastAsia="zh-CN" w:bidi="zh-CN"/>
      </w:rPr>
    </w:lvl>
    <w:lvl w:ilvl="7">
      <w:start w:val="0"/>
      <w:numFmt w:val="bullet"/>
      <w:lvlText w:val="•"/>
      <w:lvlJc w:val="left"/>
      <w:pPr>
        <w:ind w:left="5118" w:hanging="607"/>
      </w:pPr>
      <w:rPr>
        <w:rFonts w:hint="default"/>
        <w:lang w:val="zh-CN" w:eastAsia="zh-CN" w:bidi="zh-CN"/>
      </w:rPr>
    </w:lvl>
    <w:lvl w:ilvl="8">
      <w:start w:val="0"/>
      <w:numFmt w:val="bullet"/>
      <w:lvlText w:val="•"/>
      <w:lvlJc w:val="left"/>
      <w:pPr>
        <w:ind w:left="6022" w:hanging="607"/>
      </w:pPr>
      <w:rPr>
        <w:rFonts w:hint="default"/>
        <w:lang w:val="zh-CN" w:eastAsia="zh-CN" w:bidi="zh-CN"/>
      </w:rPr>
    </w:lvl>
  </w:abstractNum>
  <w:abstractNum w:abstractNumId="29">
    <w:nsid w:val="62AA772C"/>
    <w:multiLevelType w:val="hybridMultilevel"/>
    <w:tmpl w:val="00000000"/>
    <w:lvl w:ilvl="0">
      <w:start w:val="2"/>
      <w:numFmt w:val="decimal"/>
      <w:lvlText w:val="%1"/>
      <w:lvlJc w:val="left"/>
      <w:pPr>
        <w:ind w:left="830" w:hanging="423"/>
        <w:jc w:val="left"/>
      </w:pPr>
      <w:rPr>
        <w:rFonts w:hint="default"/>
        <w:lang w:val="zh-CN" w:eastAsia="zh-CN" w:bidi="zh-CN"/>
      </w:rPr>
    </w:lvl>
    <w:lvl w:ilvl="1">
      <w:start w:val="1"/>
      <w:numFmt w:val="decimal"/>
      <w:lvlText w:val="%1.%2"/>
      <w:lvlJc w:val="left"/>
      <w:pPr>
        <w:ind w:left="830" w:hanging="423"/>
        <w:jc w:val="right"/>
      </w:pPr>
      <w:rPr>
        <w:rFonts w:ascii="Times New Roman" w:eastAsia="Times New Roman" w:hAnsi="Times New Roman" w:cs="Times New Roman" w:hint="default"/>
        <w:color w:val="231F20"/>
        <w:w w:val="100"/>
        <w:sz w:val="24"/>
        <w:szCs w:val="24"/>
        <w:lang w:val="zh-CN" w:eastAsia="zh-CN" w:bidi="zh-CN"/>
      </w:rPr>
    </w:lvl>
    <w:lvl w:ilvl="2">
      <w:start w:val="1"/>
      <w:numFmt w:val="decimal"/>
      <w:lvlText w:val="%1.%2.%3"/>
      <w:lvlJc w:val="left"/>
      <w:pPr>
        <w:ind w:left="1450" w:hanging="600"/>
        <w:jc w:val="left"/>
      </w:pPr>
      <w:rPr>
        <w:rFonts w:ascii="Times New Roman" w:eastAsia="Times New Roman" w:hAnsi="Times New Roman" w:cs="Times New Roman" w:hint="default"/>
        <w:color w:val="231F20"/>
        <w:w w:val="100"/>
        <w:sz w:val="24"/>
        <w:szCs w:val="24"/>
        <w:lang w:val="zh-CN" w:eastAsia="zh-CN" w:bidi="zh-CN"/>
      </w:rPr>
    </w:lvl>
    <w:lvl w:ilvl="3">
      <w:start w:val="0"/>
      <w:numFmt w:val="bullet"/>
      <w:lvlText w:val="•"/>
      <w:lvlJc w:val="left"/>
      <w:pPr>
        <w:ind w:left="1500" w:hanging="600"/>
      </w:pPr>
      <w:rPr>
        <w:rFonts w:hint="default"/>
        <w:lang w:val="zh-CN" w:eastAsia="zh-CN" w:bidi="zh-CN"/>
      </w:rPr>
    </w:lvl>
    <w:lvl w:ilvl="4">
      <w:start w:val="0"/>
      <w:numFmt w:val="bullet"/>
      <w:lvlText w:val="•"/>
      <w:lvlJc w:val="left"/>
      <w:pPr>
        <w:ind w:left="2404" w:hanging="600"/>
      </w:pPr>
      <w:rPr>
        <w:rFonts w:hint="default"/>
        <w:lang w:val="zh-CN" w:eastAsia="zh-CN" w:bidi="zh-CN"/>
      </w:rPr>
    </w:lvl>
    <w:lvl w:ilvl="5">
      <w:start w:val="0"/>
      <w:numFmt w:val="bullet"/>
      <w:lvlText w:val="•"/>
      <w:lvlJc w:val="left"/>
      <w:pPr>
        <w:ind w:left="3309" w:hanging="600"/>
      </w:pPr>
      <w:rPr>
        <w:rFonts w:hint="default"/>
        <w:lang w:val="zh-CN" w:eastAsia="zh-CN" w:bidi="zh-CN"/>
      </w:rPr>
    </w:lvl>
    <w:lvl w:ilvl="6">
      <w:start w:val="0"/>
      <w:numFmt w:val="bullet"/>
      <w:lvlText w:val="•"/>
      <w:lvlJc w:val="left"/>
      <w:pPr>
        <w:ind w:left="4213" w:hanging="600"/>
      </w:pPr>
      <w:rPr>
        <w:rFonts w:hint="default"/>
        <w:lang w:val="zh-CN" w:eastAsia="zh-CN" w:bidi="zh-CN"/>
      </w:rPr>
    </w:lvl>
    <w:lvl w:ilvl="7">
      <w:start w:val="0"/>
      <w:numFmt w:val="bullet"/>
      <w:lvlText w:val="•"/>
      <w:lvlJc w:val="left"/>
      <w:pPr>
        <w:ind w:left="5118" w:hanging="600"/>
      </w:pPr>
      <w:rPr>
        <w:rFonts w:hint="default"/>
        <w:lang w:val="zh-CN" w:eastAsia="zh-CN" w:bidi="zh-CN"/>
      </w:rPr>
    </w:lvl>
    <w:lvl w:ilvl="8">
      <w:start w:val="0"/>
      <w:numFmt w:val="bullet"/>
      <w:lvlText w:val="•"/>
      <w:lvlJc w:val="left"/>
      <w:pPr>
        <w:ind w:left="6022" w:hanging="600"/>
      </w:pPr>
      <w:rPr>
        <w:rFonts w:hint="default"/>
        <w:lang w:val="zh-CN" w:eastAsia="zh-CN" w:bidi="zh-CN"/>
      </w:rPr>
    </w:lvl>
  </w:abstractNum>
  <w:abstractNum w:abstractNumId="30">
    <w:nsid w:val="68E1BADC"/>
    <w:multiLevelType w:val="hybridMultilevel"/>
    <w:tmpl w:val="00000000"/>
    <w:lvl w:ilvl="0">
      <w:start w:val="0"/>
      <w:numFmt w:val="bullet"/>
      <w:lvlText w:val="●"/>
      <w:lvlJc w:val="left"/>
      <w:pPr>
        <w:ind w:left="220" w:hanging="180"/>
      </w:pPr>
      <w:rPr>
        <w:rFonts w:ascii="宋体" w:eastAsia="宋体" w:hAnsi="宋体" w:cs="宋体" w:hint="default"/>
        <w:color w:val="231F20"/>
        <w:spacing w:val="-12"/>
        <w:w w:val="100"/>
        <w:position w:val="4"/>
        <w:sz w:val="12"/>
        <w:szCs w:val="12"/>
        <w:lang w:val="zh-CN" w:eastAsia="zh-CN" w:bidi="zh-CN"/>
      </w:rPr>
    </w:lvl>
    <w:lvl w:ilvl="1">
      <w:start w:val="0"/>
      <w:numFmt w:val="bullet"/>
      <w:lvlText w:val="•"/>
      <w:lvlJc w:val="left"/>
      <w:pPr>
        <w:ind w:left="2540" w:hanging="180"/>
      </w:pPr>
      <w:rPr>
        <w:rFonts w:hint="default"/>
        <w:lang w:val="zh-CN" w:eastAsia="zh-CN" w:bidi="zh-CN"/>
      </w:rPr>
    </w:lvl>
    <w:lvl w:ilvl="2">
      <w:start w:val="0"/>
      <w:numFmt w:val="bullet"/>
      <w:lvlText w:val="•"/>
      <w:lvlJc w:val="left"/>
      <w:pPr>
        <w:ind w:left="3100" w:hanging="180"/>
      </w:pPr>
      <w:rPr>
        <w:rFonts w:hint="default"/>
        <w:lang w:val="zh-CN" w:eastAsia="zh-CN" w:bidi="zh-CN"/>
      </w:rPr>
    </w:lvl>
    <w:lvl w:ilvl="3">
      <w:start w:val="0"/>
      <w:numFmt w:val="bullet"/>
      <w:lvlText w:val="•"/>
      <w:lvlJc w:val="left"/>
      <w:pPr>
        <w:ind w:left="2707" w:hanging="180"/>
      </w:pPr>
      <w:rPr>
        <w:rFonts w:hint="default"/>
        <w:lang w:val="zh-CN" w:eastAsia="zh-CN" w:bidi="zh-CN"/>
      </w:rPr>
    </w:lvl>
    <w:lvl w:ilvl="4">
      <w:start w:val="0"/>
      <w:numFmt w:val="bullet"/>
      <w:lvlText w:val="•"/>
      <w:lvlJc w:val="left"/>
      <w:pPr>
        <w:ind w:left="2315" w:hanging="180"/>
      </w:pPr>
      <w:rPr>
        <w:rFonts w:hint="default"/>
        <w:lang w:val="zh-CN" w:eastAsia="zh-CN" w:bidi="zh-CN"/>
      </w:rPr>
    </w:lvl>
    <w:lvl w:ilvl="5">
      <w:start w:val="0"/>
      <w:numFmt w:val="bullet"/>
      <w:lvlText w:val="•"/>
      <w:lvlJc w:val="left"/>
      <w:pPr>
        <w:ind w:left="1922" w:hanging="180"/>
      </w:pPr>
      <w:rPr>
        <w:rFonts w:hint="default"/>
        <w:lang w:val="zh-CN" w:eastAsia="zh-CN" w:bidi="zh-CN"/>
      </w:rPr>
    </w:lvl>
    <w:lvl w:ilvl="6">
      <w:start w:val="0"/>
      <w:numFmt w:val="bullet"/>
      <w:lvlText w:val="•"/>
      <w:lvlJc w:val="left"/>
      <w:pPr>
        <w:ind w:left="1530" w:hanging="180"/>
      </w:pPr>
      <w:rPr>
        <w:rFonts w:hint="default"/>
        <w:lang w:val="zh-CN" w:eastAsia="zh-CN" w:bidi="zh-CN"/>
      </w:rPr>
    </w:lvl>
    <w:lvl w:ilvl="7">
      <w:start w:val="0"/>
      <w:numFmt w:val="bullet"/>
      <w:lvlText w:val="•"/>
      <w:lvlJc w:val="left"/>
      <w:pPr>
        <w:ind w:left="1137" w:hanging="180"/>
      </w:pPr>
      <w:rPr>
        <w:rFonts w:hint="default"/>
        <w:lang w:val="zh-CN" w:eastAsia="zh-CN" w:bidi="zh-CN"/>
      </w:rPr>
    </w:lvl>
    <w:lvl w:ilvl="8">
      <w:start w:val="0"/>
      <w:numFmt w:val="bullet"/>
      <w:lvlText w:val="•"/>
      <w:lvlJc w:val="left"/>
      <w:pPr>
        <w:ind w:left="745" w:hanging="180"/>
      </w:pPr>
      <w:rPr>
        <w:rFonts w:hint="default"/>
        <w:lang w:val="zh-CN" w:eastAsia="zh-CN" w:bidi="zh-CN"/>
      </w:rPr>
    </w:lvl>
  </w:abstractNum>
  <w:abstractNum w:abstractNumId="31">
    <w:nsid w:val="6EDAD4CF"/>
    <w:multiLevelType w:val="hybridMultilevel"/>
    <w:tmpl w:val="00000000"/>
    <w:lvl w:ilvl="0">
      <w:start w:val="1"/>
      <w:numFmt w:val="decimal"/>
      <w:lvlText w:val="（%1）"/>
      <w:lvlJc w:val="left"/>
      <w:pPr>
        <w:ind w:left="221" w:hanging="601"/>
        <w:jc w:val="left"/>
      </w:pPr>
      <w:rPr>
        <w:rFonts w:ascii="宋体" w:eastAsia="宋体" w:hAnsi="宋体" w:cs="宋体" w:hint="default"/>
        <w:color w:val="231F20"/>
        <w:spacing w:val="-18"/>
        <w:w w:val="100"/>
        <w:sz w:val="22"/>
        <w:szCs w:val="22"/>
        <w:lang w:val="zh-CN" w:eastAsia="zh-CN" w:bidi="zh-CN"/>
      </w:rPr>
    </w:lvl>
    <w:lvl w:ilvl="1">
      <w:start w:val="1"/>
      <w:numFmt w:val="decimal"/>
      <w:lvlText w:val="%2."/>
      <w:lvlJc w:val="left"/>
      <w:pPr>
        <w:ind w:left="390" w:hanging="318"/>
        <w:jc w:val="left"/>
      </w:pPr>
      <w:rPr>
        <w:rFonts w:ascii="Times New Roman" w:eastAsia="Times New Roman" w:hAnsi="Times New Roman" w:cs="Times New Roman" w:hint="default"/>
        <w:color w:val="231F20"/>
        <w:spacing w:val="-90"/>
        <w:w w:val="99"/>
        <w:sz w:val="24"/>
        <w:szCs w:val="24"/>
        <w:lang w:val="zh-CN" w:eastAsia="zh-CN" w:bidi="zh-CN"/>
      </w:rPr>
    </w:lvl>
    <w:lvl w:ilvl="2">
      <w:start w:val="0"/>
      <w:numFmt w:val="bullet"/>
      <w:lvlText w:val="•"/>
      <w:lvlJc w:val="left"/>
      <w:pPr>
        <w:ind w:left="1225" w:hanging="318"/>
      </w:pPr>
      <w:rPr>
        <w:rFonts w:hint="default"/>
        <w:lang w:val="zh-CN" w:eastAsia="zh-CN" w:bidi="zh-CN"/>
      </w:rPr>
    </w:lvl>
    <w:lvl w:ilvl="3">
      <w:start w:val="0"/>
      <w:numFmt w:val="bullet"/>
      <w:lvlText w:val="•"/>
      <w:lvlJc w:val="left"/>
      <w:pPr>
        <w:ind w:left="2051" w:hanging="318"/>
      </w:pPr>
      <w:rPr>
        <w:rFonts w:hint="default"/>
        <w:lang w:val="zh-CN" w:eastAsia="zh-CN" w:bidi="zh-CN"/>
      </w:rPr>
    </w:lvl>
    <w:lvl w:ilvl="4">
      <w:start w:val="0"/>
      <w:numFmt w:val="bullet"/>
      <w:lvlText w:val="•"/>
      <w:lvlJc w:val="left"/>
      <w:pPr>
        <w:ind w:left="2877" w:hanging="318"/>
      </w:pPr>
      <w:rPr>
        <w:rFonts w:hint="default"/>
        <w:lang w:val="zh-CN" w:eastAsia="zh-CN" w:bidi="zh-CN"/>
      </w:rPr>
    </w:lvl>
    <w:lvl w:ilvl="5">
      <w:start w:val="0"/>
      <w:numFmt w:val="bullet"/>
      <w:lvlText w:val="•"/>
      <w:lvlJc w:val="left"/>
      <w:pPr>
        <w:ind w:left="3702" w:hanging="318"/>
      </w:pPr>
      <w:rPr>
        <w:rFonts w:hint="default"/>
        <w:lang w:val="zh-CN" w:eastAsia="zh-CN" w:bidi="zh-CN"/>
      </w:rPr>
    </w:lvl>
    <w:lvl w:ilvl="6">
      <w:start w:val="0"/>
      <w:numFmt w:val="bullet"/>
      <w:lvlText w:val="•"/>
      <w:lvlJc w:val="left"/>
      <w:pPr>
        <w:ind w:left="4528" w:hanging="318"/>
      </w:pPr>
      <w:rPr>
        <w:rFonts w:hint="default"/>
        <w:lang w:val="zh-CN" w:eastAsia="zh-CN" w:bidi="zh-CN"/>
      </w:rPr>
    </w:lvl>
    <w:lvl w:ilvl="7">
      <w:start w:val="0"/>
      <w:numFmt w:val="bullet"/>
      <w:lvlText w:val="•"/>
      <w:lvlJc w:val="left"/>
      <w:pPr>
        <w:ind w:left="5354" w:hanging="318"/>
      </w:pPr>
      <w:rPr>
        <w:rFonts w:hint="default"/>
        <w:lang w:val="zh-CN" w:eastAsia="zh-CN" w:bidi="zh-CN"/>
      </w:rPr>
    </w:lvl>
    <w:lvl w:ilvl="8">
      <w:start w:val="0"/>
      <w:numFmt w:val="bullet"/>
      <w:lvlText w:val="•"/>
      <w:lvlJc w:val="left"/>
      <w:pPr>
        <w:ind w:left="6180" w:hanging="318"/>
      </w:pPr>
      <w:rPr>
        <w:rFonts w:hint="default"/>
        <w:lang w:val="zh-CN" w:eastAsia="zh-CN" w:bidi="zh-CN"/>
      </w:rPr>
    </w:lvl>
  </w:abstractNum>
  <w:abstractNum w:abstractNumId="32">
    <w:nsid w:val="6EEE86AA"/>
    <w:multiLevelType w:val="hybridMultilevel"/>
    <w:tmpl w:val="00000000"/>
    <w:lvl w:ilvl="0">
      <w:start w:val="1"/>
      <w:numFmt w:val="decimal"/>
      <w:lvlText w:val="%1."/>
      <w:lvlJc w:val="left"/>
      <w:pPr>
        <w:ind w:left="220" w:hanging="307"/>
        <w:jc w:val="right"/>
      </w:pPr>
      <w:rPr>
        <w:rFonts w:ascii="Times New Roman" w:eastAsia="Times New Roman" w:hAnsi="Times New Roman" w:cs="Times New Roman" w:hint="default"/>
        <w:color w:val="231F20"/>
        <w:w w:val="100"/>
        <w:sz w:val="24"/>
        <w:szCs w:val="24"/>
        <w:lang w:val="zh-CN" w:eastAsia="zh-CN" w:bidi="zh-CN"/>
      </w:rPr>
    </w:lvl>
    <w:lvl w:ilvl="1">
      <w:start w:val="0"/>
      <w:numFmt w:val="bullet"/>
      <w:lvlText w:val="•"/>
      <w:lvlJc w:val="left"/>
      <w:pPr>
        <w:ind w:left="981" w:hanging="307"/>
      </w:pPr>
      <w:rPr>
        <w:rFonts w:hint="default"/>
        <w:lang w:val="zh-CN" w:eastAsia="zh-CN" w:bidi="zh-CN"/>
      </w:rPr>
    </w:lvl>
    <w:lvl w:ilvl="2">
      <w:start w:val="0"/>
      <w:numFmt w:val="bullet"/>
      <w:lvlText w:val="•"/>
      <w:lvlJc w:val="left"/>
      <w:pPr>
        <w:ind w:left="1742" w:hanging="307"/>
      </w:pPr>
      <w:rPr>
        <w:rFonts w:hint="default"/>
        <w:lang w:val="zh-CN" w:eastAsia="zh-CN" w:bidi="zh-CN"/>
      </w:rPr>
    </w:lvl>
    <w:lvl w:ilvl="3">
      <w:start w:val="0"/>
      <w:numFmt w:val="bullet"/>
      <w:lvlText w:val="•"/>
      <w:lvlJc w:val="left"/>
      <w:pPr>
        <w:ind w:left="2503" w:hanging="307"/>
      </w:pPr>
      <w:rPr>
        <w:rFonts w:hint="default"/>
        <w:lang w:val="zh-CN" w:eastAsia="zh-CN" w:bidi="zh-CN"/>
      </w:rPr>
    </w:lvl>
    <w:lvl w:ilvl="4">
      <w:start w:val="0"/>
      <w:numFmt w:val="bullet"/>
      <w:lvlText w:val="•"/>
      <w:lvlJc w:val="left"/>
      <w:pPr>
        <w:ind w:left="3264" w:hanging="307"/>
      </w:pPr>
      <w:rPr>
        <w:rFonts w:hint="default"/>
        <w:lang w:val="zh-CN" w:eastAsia="zh-CN" w:bidi="zh-CN"/>
      </w:rPr>
    </w:lvl>
    <w:lvl w:ilvl="5">
      <w:start w:val="0"/>
      <w:numFmt w:val="bullet"/>
      <w:lvlText w:val="•"/>
      <w:lvlJc w:val="left"/>
      <w:pPr>
        <w:ind w:left="4025" w:hanging="307"/>
      </w:pPr>
      <w:rPr>
        <w:rFonts w:hint="default"/>
        <w:lang w:val="zh-CN" w:eastAsia="zh-CN" w:bidi="zh-CN"/>
      </w:rPr>
    </w:lvl>
    <w:lvl w:ilvl="6">
      <w:start w:val="0"/>
      <w:numFmt w:val="bullet"/>
      <w:lvlText w:val="•"/>
      <w:lvlJc w:val="left"/>
      <w:pPr>
        <w:ind w:left="4787" w:hanging="307"/>
      </w:pPr>
      <w:rPr>
        <w:rFonts w:hint="default"/>
        <w:lang w:val="zh-CN" w:eastAsia="zh-CN" w:bidi="zh-CN"/>
      </w:rPr>
    </w:lvl>
    <w:lvl w:ilvl="7">
      <w:start w:val="0"/>
      <w:numFmt w:val="bullet"/>
      <w:lvlText w:val="•"/>
      <w:lvlJc w:val="left"/>
      <w:pPr>
        <w:ind w:left="5548" w:hanging="307"/>
      </w:pPr>
      <w:rPr>
        <w:rFonts w:hint="default"/>
        <w:lang w:val="zh-CN" w:eastAsia="zh-CN" w:bidi="zh-CN"/>
      </w:rPr>
    </w:lvl>
    <w:lvl w:ilvl="8">
      <w:start w:val="0"/>
      <w:numFmt w:val="bullet"/>
      <w:lvlText w:val="•"/>
      <w:lvlJc w:val="left"/>
      <w:pPr>
        <w:ind w:left="6309" w:hanging="307"/>
      </w:pPr>
      <w:rPr>
        <w:rFonts w:hint="default"/>
        <w:lang w:val="zh-CN" w:eastAsia="zh-CN" w:bidi="zh-CN"/>
      </w:rPr>
    </w:lvl>
  </w:abstractNum>
  <w:abstractNum w:abstractNumId="33">
    <w:nsid w:val="6FC95C24"/>
    <w:multiLevelType w:val="hybridMultilevel"/>
    <w:tmpl w:val="00000000"/>
    <w:lvl w:ilvl="0">
      <w:start w:val="5"/>
      <w:numFmt w:val="decimal"/>
      <w:lvlText w:val="%1"/>
      <w:lvlJc w:val="left"/>
      <w:pPr>
        <w:ind w:left="810" w:hanging="420"/>
        <w:jc w:val="left"/>
      </w:pPr>
      <w:rPr>
        <w:rFonts w:hint="default"/>
        <w:lang w:val="zh-CN" w:eastAsia="zh-CN" w:bidi="zh-CN"/>
      </w:rPr>
    </w:lvl>
    <w:lvl w:ilvl="1">
      <w:start w:val="1"/>
      <w:numFmt w:val="decimal"/>
      <w:lvlText w:val="%1.%2"/>
      <w:lvlJc w:val="left"/>
      <w:pPr>
        <w:ind w:left="810" w:hanging="420"/>
        <w:jc w:val="left"/>
      </w:pPr>
      <w:rPr>
        <w:rFonts w:ascii="Times New Roman" w:eastAsia="Times New Roman" w:hAnsi="Times New Roman" w:cs="Times New Roman" w:hint="default"/>
        <w:color w:val="231F20"/>
        <w:spacing w:val="-30"/>
        <w:w w:val="99"/>
        <w:sz w:val="24"/>
        <w:szCs w:val="24"/>
        <w:lang w:val="zh-CN" w:eastAsia="zh-CN" w:bidi="zh-CN"/>
      </w:rPr>
    </w:lvl>
    <w:lvl w:ilvl="2">
      <w:start w:val="1"/>
      <w:numFmt w:val="decimal"/>
      <w:lvlText w:val="%1.%2.%3"/>
      <w:lvlJc w:val="left"/>
      <w:pPr>
        <w:ind w:left="1490" w:hanging="606"/>
        <w:jc w:val="left"/>
      </w:pPr>
      <w:rPr>
        <w:rFonts w:ascii="Times New Roman" w:eastAsia="Times New Roman" w:hAnsi="Times New Roman" w:cs="Times New Roman" w:hint="default"/>
        <w:color w:val="231F20"/>
        <w:spacing w:val="-11"/>
        <w:w w:val="100"/>
        <w:sz w:val="24"/>
        <w:szCs w:val="24"/>
        <w:lang w:val="zh-CN" w:eastAsia="zh-CN" w:bidi="zh-CN"/>
      </w:rPr>
    </w:lvl>
    <w:lvl w:ilvl="3">
      <w:start w:val="0"/>
      <w:numFmt w:val="bullet"/>
      <w:lvlText w:val="•"/>
      <w:lvlJc w:val="left"/>
      <w:pPr>
        <w:ind w:left="2907" w:hanging="606"/>
      </w:pPr>
      <w:rPr>
        <w:rFonts w:hint="default"/>
        <w:lang w:val="zh-CN" w:eastAsia="zh-CN" w:bidi="zh-CN"/>
      </w:rPr>
    </w:lvl>
    <w:lvl w:ilvl="4">
      <w:start w:val="0"/>
      <w:numFmt w:val="bullet"/>
      <w:lvlText w:val="•"/>
      <w:lvlJc w:val="left"/>
      <w:pPr>
        <w:ind w:left="3610" w:hanging="606"/>
      </w:pPr>
      <w:rPr>
        <w:rFonts w:hint="default"/>
        <w:lang w:val="zh-CN" w:eastAsia="zh-CN" w:bidi="zh-CN"/>
      </w:rPr>
    </w:lvl>
    <w:lvl w:ilvl="5">
      <w:start w:val="0"/>
      <w:numFmt w:val="bullet"/>
      <w:lvlText w:val="•"/>
      <w:lvlJc w:val="left"/>
      <w:pPr>
        <w:ind w:left="4314" w:hanging="606"/>
      </w:pPr>
      <w:rPr>
        <w:rFonts w:hint="default"/>
        <w:lang w:val="zh-CN" w:eastAsia="zh-CN" w:bidi="zh-CN"/>
      </w:rPr>
    </w:lvl>
    <w:lvl w:ilvl="6">
      <w:start w:val="0"/>
      <w:numFmt w:val="bullet"/>
      <w:lvlText w:val="•"/>
      <w:lvlJc w:val="left"/>
      <w:pPr>
        <w:ind w:left="5017" w:hanging="606"/>
      </w:pPr>
      <w:rPr>
        <w:rFonts w:hint="default"/>
        <w:lang w:val="zh-CN" w:eastAsia="zh-CN" w:bidi="zh-CN"/>
      </w:rPr>
    </w:lvl>
    <w:lvl w:ilvl="7">
      <w:start w:val="0"/>
      <w:numFmt w:val="bullet"/>
      <w:lvlText w:val="•"/>
      <w:lvlJc w:val="left"/>
      <w:pPr>
        <w:ind w:left="5721" w:hanging="606"/>
      </w:pPr>
      <w:rPr>
        <w:rFonts w:hint="default"/>
        <w:lang w:val="zh-CN" w:eastAsia="zh-CN" w:bidi="zh-CN"/>
      </w:rPr>
    </w:lvl>
    <w:lvl w:ilvl="8">
      <w:start w:val="0"/>
      <w:numFmt w:val="bullet"/>
      <w:lvlText w:val="•"/>
      <w:lvlJc w:val="left"/>
      <w:pPr>
        <w:ind w:left="6424" w:hanging="606"/>
      </w:pPr>
      <w:rPr>
        <w:rFonts w:hint="default"/>
        <w:lang w:val="zh-CN" w:eastAsia="zh-CN" w:bidi="zh-CN"/>
      </w:rPr>
    </w:lvl>
  </w:abstractNum>
  <w:abstractNum w:abstractNumId="34">
    <w:nsid w:val="725CBF2F"/>
    <w:multiLevelType w:val="hybridMultilevel"/>
    <w:tmpl w:val="00000000"/>
    <w:lvl w:ilvl="0">
      <w:start w:val="1"/>
      <w:numFmt w:val="decimal"/>
      <w:lvlText w:val="%1"/>
      <w:lvlJc w:val="left"/>
      <w:pPr>
        <w:ind w:left="660" w:hanging="423"/>
        <w:jc w:val="left"/>
      </w:pPr>
      <w:rPr>
        <w:rFonts w:hint="default"/>
        <w:lang w:val="zh-CN" w:eastAsia="zh-CN" w:bidi="zh-CN"/>
      </w:rPr>
    </w:lvl>
    <w:lvl w:ilvl="1">
      <w:start w:val="1"/>
      <w:numFmt w:val="decimal"/>
      <w:lvlText w:val="%1.%2"/>
      <w:lvlJc w:val="left"/>
      <w:pPr>
        <w:ind w:left="660" w:hanging="423"/>
        <w:jc w:val="right"/>
      </w:pPr>
      <w:rPr>
        <w:rFonts w:ascii="Times New Roman" w:eastAsia="Times New Roman" w:hAnsi="Times New Roman" w:cs="Times New Roman" w:hint="default"/>
        <w:color w:val="231F20"/>
        <w:spacing w:val="-11"/>
        <w:w w:val="100"/>
        <w:sz w:val="24"/>
        <w:szCs w:val="24"/>
        <w:lang w:val="zh-CN" w:eastAsia="zh-CN" w:bidi="zh-CN"/>
      </w:rPr>
    </w:lvl>
    <w:lvl w:ilvl="2">
      <w:start w:val="1"/>
      <w:numFmt w:val="decimal"/>
      <w:lvlText w:val="%1.%2.%3"/>
      <w:lvlJc w:val="left"/>
      <w:pPr>
        <w:ind w:left="1320" w:hanging="606"/>
        <w:jc w:val="left"/>
      </w:pPr>
      <w:rPr>
        <w:rFonts w:ascii="Times New Roman" w:eastAsia="Times New Roman" w:hAnsi="Times New Roman" w:cs="Times New Roman" w:hint="default"/>
        <w:color w:val="231F20"/>
        <w:w w:val="100"/>
        <w:sz w:val="24"/>
        <w:szCs w:val="24"/>
        <w:lang w:val="zh-CN" w:eastAsia="zh-CN" w:bidi="zh-CN"/>
      </w:rPr>
    </w:lvl>
    <w:lvl w:ilvl="3">
      <w:start w:val="0"/>
      <w:numFmt w:val="bullet"/>
      <w:lvlText w:val="•"/>
      <w:lvlJc w:val="left"/>
      <w:pPr>
        <w:ind w:left="1500" w:hanging="606"/>
      </w:pPr>
      <w:rPr>
        <w:rFonts w:hint="default"/>
        <w:lang w:val="zh-CN" w:eastAsia="zh-CN" w:bidi="zh-CN"/>
      </w:rPr>
    </w:lvl>
    <w:lvl w:ilvl="4">
      <w:start w:val="0"/>
      <w:numFmt w:val="bullet"/>
      <w:lvlText w:val="•"/>
      <w:lvlJc w:val="left"/>
      <w:pPr>
        <w:ind w:left="2404" w:hanging="606"/>
      </w:pPr>
      <w:rPr>
        <w:rFonts w:hint="default"/>
        <w:lang w:val="zh-CN" w:eastAsia="zh-CN" w:bidi="zh-CN"/>
      </w:rPr>
    </w:lvl>
    <w:lvl w:ilvl="5">
      <w:start w:val="0"/>
      <w:numFmt w:val="bullet"/>
      <w:lvlText w:val="•"/>
      <w:lvlJc w:val="left"/>
      <w:pPr>
        <w:ind w:left="3309" w:hanging="606"/>
      </w:pPr>
      <w:rPr>
        <w:rFonts w:hint="default"/>
        <w:lang w:val="zh-CN" w:eastAsia="zh-CN" w:bidi="zh-CN"/>
      </w:rPr>
    </w:lvl>
    <w:lvl w:ilvl="6">
      <w:start w:val="0"/>
      <w:numFmt w:val="bullet"/>
      <w:lvlText w:val="•"/>
      <w:lvlJc w:val="left"/>
      <w:pPr>
        <w:ind w:left="4213" w:hanging="606"/>
      </w:pPr>
      <w:rPr>
        <w:rFonts w:hint="default"/>
        <w:lang w:val="zh-CN" w:eastAsia="zh-CN" w:bidi="zh-CN"/>
      </w:rPr>
    </w:lvl>
    <w:lvl w:ilvl="7">
      <w:start w:val="0"/>
      <w:numFmt w:val="bullet"/>
      <w:lvlText w:val="•"/>
      <w:lvlJc w:val="left"/>
      <w:pPr>
        <w:ind w:left="5118" w:hanging="606"/>
      </w:pPr>
      <w:rPr>
        <w:rFonts w:hint="default"/>
        <w:lang w:val="zh-CN" w:eastAsia="zh-CN" w:bidi="zh-CN"/>
      </w:rPr>
    </w:lvl>
    <w:lvl w:ilvl="8">
      <w:start w:val="0"/>
      <w:numFmt w:val="bullet"/>
      <w:lvlText w:val="•"/>
      <w:lvlJc w:val="left"/>
      <w:pPr>
        <w:ind w:left="6022" w:hanging="606"/>
      </w:pPr>
      <w:rPr>
        <w:rFonts w:hint="default"/>
        <w:lang w:val="zh-CN" w:eastAsia="zh-CN" w:bidi="zh-CN"/>
      </w:rPr>
    </w:lvl>
  </w:abstractNum>
  <w:abstractNum w:abstractNumId="35">
    <w:nsid w:val="742C6698"/>
    <w:multiLevelType w:val="hybridMultilevel"/>
    <w:tmpl w:val="00000000"/>
    <w:lvl w:ilvl="0">
      <w:start w:val="1"/>
      <w:numFmt w:val="decimal"/>
      <w:lvlText w:val="%1."/>
      <w:lvlJc w:val="left"/>
      <w:pPr>
        <w:ind w:left="1020" w:hanging="321"/>
        <w:jc w:val="right"/>
      </w:pPr>
      <w:rPr>
        <w:rFonts w:ascii="Arial" w:eastAsia="Arial" w:hAnsi="Arial" w:cs="Arial" w:hint="default"/>
        <w:color w:val="231F20"/>
        <w:spacing w:val="-14"/>
        <w:w w:val="100"/>
        <w:sz w:val="24"/>
        <w:szCs w:val="24"/>
        <w:lang w:val="zh-CN" w:eastAsia="zh-CN" w:bidi="zh-CN"/>
      </w:rPr>
    </w:lvl>
    <w:lvl w:ilvl="1">
      <w:start w:val="1"/>
      <w:numFmt w:val="decimal"/>
      <w:lvlText w:val="%1.%2"/>
      <w:lvlJc w:val="left"/>
      <w:pPr>
        <w:ind w:left="1274" w:hanging="574"/>
        <w:jc w:val="right"/>
      </w:pPr>
      <w:rPr>
        <w:rFonts w:ascii="宋体" w:eastAsia="宋体" w:hAnsi="宋体" w:cs="宋体" w:hint="default"/>
        <w:color w:val="231F20"/>
        <w:w w:val="92"/>
        <w:sz w:val="24"/>
        <w:szCs w:val="24"/>
        <w:lang w:val="zh-CN" w:eastAsia="zh-CN" w:bidi="zh-CN"/>
      </w:rPr>
    </w:lvl>
    <w:lvl w:ilvl="2">
      <w:start w:val="1"/>
      <w:numFmt w:val="decimal"/>
      <w:lvlText w:val="%3."/>
      <w:lvlJc w:val="left"/>
      <w:pPr>
        <w:ind w:left="1191" w:hanging="321"/>
        <w:jc w:val="left"/>
      </w:pPr>
      <w:rPr>
        <w:rFonts w:ascii="Arial" w:eastAsia="Arial" w:hAnsi="Arial" w:cs="Arial" w:hint="default"/>
        <w:color w:val="231F20"/>
        <w:spacing w:val="-14"/>
        <w:w w:val="100"/>
        <w:sz w:val="24"/>
        <w:szCs w:val="24"/>
        <w:lang w:val="zh-CN" w:eastAsia="zh-CN" w:bidi="zh-CN"/>
      </w:rPr>
    </w:lvl>
    <w:lvl w:ilvl="3">
      <w:start w:val="1"/>
      <w:numFmt w:val="decimal"/>
      <w:lvlText w:val="%3.%4"/>
      <w:lvlJc w:val="left"/>
      <w:pPr>
        <w:ind w:left="1444" w:hanging="574"/>
        <w:jc w:val="right"/>
      </w:pPr>
      <w:rPr>
        <w:rFonts w:ascii="宋体" w:eastAsia="宋体" w:hAnsi="宋体" w:cs="宋体" w:hint="default"/>
        <w:color w:val="231F20"/>
        <w:w w:val="92"/>
        <w:sz w:val="24"/>
        <w:szCs w:val="24"/>
        <w:lang w:val="zh-CN" w:eastAsia="zh-CN" w:bidi="zh-CN"/>
      </w:rPr>
    </w:lvl>
    <w:lvl w:ilvl="4">
      <w:start w:val="0"/>
      <w:numFmt w:val="bullet"/>
      <w:lvlText w:val="•"/>
      <w:lvlJc w:val="left"/>
      <w:pPr>
        <w:ind w:left="2353" w:hanging="574"/>
      </w:pPr>
      <w:rPr>
        <w:rFonts w:hint="default"/>
        <w:lang w:val="zh-CN" w:eastAsia="zh-CN" w:bidi="zh-CN"/>
      </w:rPr>
    </w:lvl>
    <w:lvl w:ilvl="5">
      <w:start w:val="0"/>
      <w:numFmt w:val="bullet"/>
      <w:lvlText w:val="•"/>
      <w:lvlJc w:val="left"/>
      <w:pPr>
        <w:ind w:left="3266" w:hanging="574"/>
      </w:pPr>
      <w:rPr>
        <w:rFonts w:hint="default"/>
        <w:lang w:val="zh-CN" w:eastAsia="zh-CN" w:bidi="zh-CN"/>
      </w:rPr>
    </w:lvl>
    <w:lvl w:ilvl="6">
      <w:start w:val="0"/>
      <w:numFmt w:val="bullet"/>
      <w:lvlText w:val="•"/>
      <w:lvlJc w:val="left"/>
      <w:pPr>
        <w:ind w:left="4179" w:hanging="574"/>
      </w:pPr>
      <w:rPr>
        <w:rFonts w:hint="default"/>
        <w:lang w:val="zh-CN" w:eastAsia="zh-CN" w:bidi="zh-CN"/>
      </w:rPr>
    </w:lvl>
    <w:lvl w:ilvl="7">
      <w:start w:val="0"/>
      <w:numFmt w:val="bullet"/>
      <w:lvlText w:val="•"/>
      <w:lvlJc w:val="left"/>
      <w:pPr>
        <w:ind w:left="5092" w:hanging="574"/>
      </w:pPr>
      <w:rPr>
        <w:rFonts w:hint="default"/>
        <w:lang w:val="zh-CN" w:eastAsia="zh-CN" w:bidi="zh-CN"/>
      </w:rPr>
    </w:lvl>
    <w:lvl w:ilvl="8">
      <w:start w:val="0"/>
      <w:numFmt w:val="bullet"/>
      <w:lvlText w:val="•"/>
      <w:lvlJc w:val="left"/>
      <w:pPr>
        <w:ind w:left="6005" w:hanging="574"/>
      </w:pPr>
      <w:rPr>
        <w:rFonts w:hint="default"/>
        <w:lang w:val="zh-CN" w:eastAsia="zh-CN" w:bidi="zh-CN"/>
      </w:rPr>
    </w:lvl>
  </w:abstractNum>
  <w:abstractNum w:abstractNumId="36">
    <w:nsid w:val="74F57F13"/>
    <w:multiLevelType w:val="hybridMultilevel"/>
    <w:tmpl w:val="00000000"/>
    <w:lvl w:ilvl="0">
      <w:start w:val="1"/>
      <w:numFmt w:val="decimal"/>
      <w:lvlText w:val="（%1）"/>
      <w:lvlJc w:val="left"/>
      <w:pPr>
        <w:ind w:left="220" w:hanging="601"/>
        <w:jc w:val="left"/>
      </w:pPr>
      <w:rPr>
        <w:rFonts w:ascii="宋体" w:eastAsia="宋体" w:hAnsi="宋体" w:cs="宋体" w:hint="default"/>
        <w:color w:val="231F20"/>
        <w:w w:val="100"/>
        <w:sz w:val="22"/>
        <w:szCs w:val="22"/>
        <w:lang w:val="zh-CN" w:eastAsia="zh-CN" w:bidi="zh-CN"/>
      </w:rPr>
    </w:lvl>
    <w:lvl w:ilvl="1">
      <w:start w:val="2"/>
      <w:numFmt w:val="decimal"/>
      <w:lvlText w:val="（%2）"/>
      <w:lvlJc w:val="left"/>
      <w:pPr>
        <w:ind w:left="390" w:hanging="601"/>
        <w:jc w:val="right"/>
      </w:pPr>
      <w:rPr>
        <w:rFonts w:ascii="宋体" w:eastAsia="宋体" w:hAnsi="宋体" w:cs="宋体" w:hint="default"/>
        <w:color w:val="231F20"/>
        <w:w w:val="100"/>
        <w:sz w:val="22"/>
        <w:szCs w:val="22"/>
        <w:lang w:val="zh-CN" w:eastAsia="zh-CN" w:bidi="zh-CN"/>
      </w:rPr>
    </w:lvl>
    <w:lvl w:ilvl="2">
      <w:start w:val="1"/>
      <w:numFmt w:val="decimal"/>
      <w:lvlText w:val="%3."/>
      <w:lvlJc w:val="left"/>
      <w:pPr>
        <w:ind w:left="1020" w:hanging="321"/>
        <w:jc w:val="right"/>
      </w:pPr>
      <w:rPr>
        <w:rFonts w:ascii="Arial" w:eastAsia="Arial" w:hAnsi="Arial" w:cs="Arial" w:hint="default"/>
        <w:color w:val="231F20"/>
        <w:spacing w:val="-14"/>
        <w:w w:val="100"/>
        <w:sz w:val="24"/>
        <w:szCs w:val="24"/>
        <w:lang w:val="zh-CN" w:eastAsia="zh-CN" w:bidi="zh-CN"/>
      </w:rPr>
    </w:lvl>
    <w:lvl w:ilvl="3">
      <w:start w:val="0"/>
      <w:numFmt w:val="bullet"/>
      <w:lvlText w:val="•"/>
      <w:lvlJc w:val="left"/>
      <w:pPr>
        <w:ind w:left="1871" w:hanging="321"/>
      </w:pPr>
      <w:rPr>
        <w:rFonts w:hint="default"/>
        <w:lang w:val="zh-CN" w:eastAsia="zh-CN" w:bidi="zh-CN"/>
      </w:rPr>
    </w:lvl>
    <w:lvl w:ilvl="4">
      <w:start w:val="0"/>
      <w:numFmt w:val="bullet"/>
      <w:lvlText w:val="•"/>
      <w:lvlJc w:val="left"/>
      <w:pPr>
        <w:ind w:left="2722" w:hanging="321"/>
      </w:pPr>
      <w:rPr>
        <w:rFonts w:hint="default"/>
        <w:lang w:val="zh-CN" w:eastAsia="zh-CN" w:bidi="zh-CN"/>
      </w:rPr>
    </w:lvl>
    <w:lvl w:ilvl="5">
      <w:start w:val="0"/>
      <w:numFmt w:val="bullet"/>
      <w:lvlText w:val="•"/>
      <w:lvlJc w:val="left"/>
      <w:pPr>
        <w:ind w:left="3574" w:hanging="321"/>
      </w:pPr>
      <w:rPr>
        <w:rFonts w:hint="default"/>
        <w:lang w:val="zh-CN" w:eastAsia="zh-CN" w:bidi="zh-CN"/>
      </w:rPr>
    </w:lvl>
    <w:lvl w:ilvl="6">
      <w:start w:val="0"/>
      <w:numFmt w:val="bullet"/>
      <w:lvlText w:val="•"/>
      <w:lvlJc w:val="left"/>
      <w:pPr>
        <w:ind w:left="4425" w:hanging="321"/>
      </w:pPr>
      <w:rPr>
        <w:rFonts w:hint="default"/>
        <w:lang w:val="zh-CN" w:eastAsia="zh-CN" w:bidi="zh-CN"/>
      </w:rPr>
    </w:lvl>
    <w:lvl w:ilvl="7">
      <w:start w:val="0"/>
      <w:numFmt w:val="bullet"/>
      <w:lvlText w:val="•"/>
      <w:lvlJc w:val="left"/>
      <w:pPr>
        <w:ind w:left="5277" w:hanging="321"/>
      </w:pPr>
      <w:rPr>
        <w:rFonts w:hint="default"/>
        <w:lang w:val="zh-CN" w:eastAsia="zh-CN" w:bidi="zh-CN"/>
      </w:rPr>
    </w:lvl>
    <w:lvl w:ilvl="8">
      <w:start w:val="0"/>
      <w:numFmt w:val="bullet"/>
      <w:lvlText w:val="•"/>
      <w:lvlJc w:val="left"/>
      <w:pPr>
        <w:ind w:left="6128" w:hanging="321"/>
      </w:pPr>
      <w:rPr>
        <w:rFonts w:hint="default"/>
        <w:lang w:val="zh-CN" w:eastAsia="zh-CN" w:bidi="zh-CN"/>
      </w:rPr>
    </w:lvl>
  </w:abstractNum>
  <w:abstractNum w:abstractNumId="37">
    <w:nsid w:val="7782DEAE"/>
    <w:multiLevelType w:val="hybridMultilevel"/>
    <w:tmpl w:val="00000000"/>
    <w:lvl w:ilvl="0">
      <w:start w:val="1"/>
      <w:numFmt w:val="decimal"/>
      <w:lvlText w:val="%1."/>
      <w:lvlJc w:val="left"/>
      <w:pPr>
        <w:ind w:left="1000" w:hanging="300"/>
        <w:jc w:val="left"/>
      </w:pPr>
      <w:rPr>
        <w:rFonts w:ascii="Times New Roman" w:eastAsia="Times New Roman" w:hAnsi="Times New Roman" w:cs="Times New Roman" w:hint="default"/>
        <w:color w:val="231F20"/>
        <w:w w:val="100"/>
        <w:sz w:val="24"/>
        <w:szCs w:val="24"/>
        <w:lang w:val="zh-CN" w:eastAsia="zh-CN" w:bidi="zh-CN"/>
      </w:rPr>
    </w:lvl>
    <w:lvl w:ilvl="1">
      <w:start w:val="0"/>
      <w:numFmt w:val="bullet"/>
      <w:lvlText w:val="•"/>
      <w:lvlJc w:val="left"/>
      <w:pPr>
        <w:ind w:left="1683" w:hanging="300"/>
      </w:pPr>
      <w:rPr>
        <w:rFonts w:hint="default"/>
        <w:lang w:val="zh-CN" w:eastAsia="zh-CN" w:bidi="zh-CN"/>
      </w:rPr>
    </w:lvl>
    <w:lvl w:ilvl="2">
      <w:start w:val="0"/>
      <w:numFmt w:val="bullet"/>
      <w:lvlText w:val="•"/>
      <w:lvlJc w:val="left"/>
      <w:pPr>
        <w:ind w:left="2366" w:hanging="300"/>
      </w:pPr>
      <w:rPr>
        <w:rFonts w:hint="default"/>
        <w:lang w:val="zh-CN" w:eastAsia="zh-CN" w:bidi="zh-CN"/>
      </w:rPr>
    </w:lvl>
    <w:lvl w:ilvl="3">
      <w:start w:val="0"/>
      <w:numFmt w:val="bullet"/>
      <w:lvlText w:val="•"/>
      <w:lvlJc w:val="left"/>
      <w:pPr>
        <w:ind w:left="3049" w:hanging="300"/>
      </w:pPr>
      <w:rPr>
        <w:rFonts w:hint="default"/>
        <w:lang w:val="zh-CN" w:eastAsia="zh-CN" w:bidi="zh-CN"/>
      </w:rPr>
    </w:lvl>
    <w:lvl w:ilvl="4">
      <w:start w:val="0"/>
      <w:numFmt w:val="bullet"/>
      <w:lvlText w:val="•"/>
      <w:lvlJc w:val="left"/>
      <w:pPr>
        <w:ind w:left="3732" w:hanging="300"/>
      </w:pPr>
      <w:rPr>
        <w:rFonts w:hint="default"/>
        <w:lang w:val="zh-CN" w:eastAsia="zh-CN" w:bidi="zh-CN"/>
      </w:rPr>
    </w:lvl>
    <w:lvl w:ilvl="5">
      <w:start w:val="0"/>
      <w:numFmt w:val="bullet"/>
      <w:lvlText w:val="•"/>
      <w:lvlJc w:val="left"/>
      <w:pPr>
        <w:ind w:left="4415" w:hanging="300"/>
      </w:pPr>
      <w:rPr>
        <w:rFonts w:hint="default"/>
        <w:lang w:val="zh-CN" w:eastAsia="zh-CN" w:bidi="zh-CN"/>
      </w:rPr>
    </w:lvl>
    <w:lvl w:ilvl="6">
      <w:start w:val="0"/>
      <w:numFmt w:val="bullet"/>
      <w:lvlText w:val="•"/>
      <w:lvlJc w:val="left"/>
      <w:pPr>
        <w:ind w:left="5099" w:hanging="300"/>
      </w:pPr>
      <w:rPr>
        <w:rFonts w:hint="default"/>
        <w:lang w:val="zh-CN" w:eastAsia="zh-CN" w:bidi="zh-CN"/>
      </w:rPr>
    </w:lvl>
    <w:lvl w:ilvl="7">
      <w:start w:val="0"/>
      <w:numFmt w:val="bullet"/>
      <w:lvlText w:val="•"/>
      <w:lvlJc w:val="left"/>
      <w:pPr>
        <w:ind w:left="5782" w:hanging="300"/>
      </w:pPr>
      <w:rPr>
        <w:rFonts w:hint="default"/>
        <w:lang w:val="zh-CN" w:eastAsia="zh-CN" w:bidi="zh-CN"/>
      </w:rPr>
    </w:lvl>
    <w:lvl w:ilvl="8">
      <w:start w:val="0"/>
      <w:numFmt w:val="bullet"/>
      <w:lvlText w:val="•"/>
      <w:lvlJc w:val="left"/>
      <w:pPr>
        <w:ind w:left="6465" w:hanging="300"/>
      </w:pPr>
      <w:rPr>
        <w:rFonts w:hint="default"/>
        <w:lang w:val="zh-CN" w:eastAsia="zh-CN" w:bidi="zh-CN"/>
      </w:rPr>
    </w:lvl>
  </w:abstractNum>
  <w:abstractNum w:abstractNumId="38">
    <w:nsid w:val="7C695859"/>
    <w:multiLevelType w:val="hybridMultilevel"/>
    <w:tmpl w:val="00000000"/>
    <w:lvl w:ilvl="0">
      <w:start w:val="1"/>
      <w:numFmt w:val="decimal"/>
      <w:lvlText w:val="（%1）"/>
      <w:lvlJc w:val="left"/>
      <w:pPr>
        <w:ind w:left="390" w:hanging="601"/>
        <w:jc w:val="right"/>
      </w:pPr>
      <w:rPr>
        <w:rFonts w:ascii="宋体" w:eastAsia="宋体" w:hAnsi="宋体" w:cs="宋体" w:hint="default"/>
        <w:color w:val="231F20"/>
        <w:spacing w:val="-17"/>
        <w:w w:val="100"/>
        <w:sz w:val="22"/>
        <w:szCs w:val="22"/>
        <w:lang w:val="zh-CN" w:eastAsia="zh-CN" w:bidi="zh-CN"/>
      </w:rPr>
    </w:lvl>
    <w:lvl w:ilvl="1">
      <w:start w:val="0"/>
      <w:numFmt w:val="bullet"/>
      <w:lvlText w:val="•"/>
      <w:lvlJc w:val="left"/>
      <w:pPr>
        <w:ind w:left="1143" w:hanging="601"/>
      </w:pPr>
      <w:rPr>
        <w:rFonts w:hint="default"/>
        <w:lang w:val="zh-CN" w:eastAsia="zh-CN" w:bidi="zh-CN"/>
      </w:rPr>
    </w:lvl>
    <w:lvl w:ilvl="2">
      <w:start w:val="0"/>
      <w:numFmt w:val="bullet"/>
      <w:lvlText w:val="•"/>
      <w:lvlJc w:val="left"/>
      <w:pPr>
        <w:ind w:left="1886" w:hanging="601"/>
      </w:pPr>
      <w:rPr>
        <w:rFonts w:hint="default"/>
        <w:lang w:val="zh-CN" w:eastAsia="zh-CN" w:bidi="zh-CN"/>
      </w:rPr>
    </w:lvl>
    <w:lvl w:ilvl="3">
      <w:start w:val="0"/>
      <w:numFmt w:val="bullet"/>
      <w:lvlText w:val="•"/>
      <w:lvlJc w:val="left"/>
      <w:pPr>
        <w:ind w:left="2629" w:hanging="601"/>
      </w:pPr>
      <w:rPr>
        <w:rFonts w:hint="default"/>
        <w:lang w:val="zh-CN" w:eastAsia="zh-CN" w:bidi="zh-CN"/>
      </w:rPr>
    </w:lvl>
    <w:lvl w:ilvl="4">
      <w:start w:val="0"/>
      <w:numFmt w:val="bullet"/>
      <w:lvlText w:val="•"/>
      <w:lvlJc w:val="left"/>
      <w:pPr>
        <w:ind w:left="3372" w:hanging="601"/>
      </w:pPr>
      <w:rPr>
        <w:rFonts w:hint="default"/>
        <w:lang w:val="zh-CN" w:eastAsia="zh-CN" w:bidi="zh-CN"/>
      </w:rPr>
    </w:lvl>
    <w:lvl w:ilvl="5">
      <w:start w:val="0"/>
      <w:numFmt w:val="bullet"/>
      <w:lvlText w:val="•"/>
      <w:lvlJc w:val="left"/>
      <w:pPr>
        <w:ind w:left="4115" w:hanging="601"/>
      </w:pPr>
      <w:rPr>
        <w:rFonts w:hint="default"/>
        <w:lang w:val="zh-CN" w:eastAsia="zh-CN" w:bidi="zh-CN"/>
      </w:rPr>
    </w:lvl>
    <w:lvl w:ilvl="6">
      <w:start w:val="0"/>
      <w:numFmt w:val="bullet"/>
      <w:lvlText w:val="•"/>
      <w:lvlJc w:val="left"/>
      <w:pPr>
        <w:ind w:left="4859" w:hanging="601"/>
      </w:pPr>
      <w:rPr>
        <w:rFonts w:hint="default"/>
        <w:lang w:val="zh-CN" w:eastAsia="zh-CN" w:bidi="zh-CN"/>
      </w:rPr>
    </w:lvl>
    <w:lvl w:ilvl="7">
      <w:start w:val="0"/>
      <w:numFmt w:val="bullet"/>
      <w:lvlText w:val="•"/>
      <w:lvlJc w:val="left"/>
      <w:pPr>
        <w:ind w:left="5602" w:hanging="601"/>
      </w:pPr>
      <w:rPr>
        <w:rFonts w:hint="default"/>
        <w:lang w:val="zh-CN" w:eastAsia="zh-CN" w:bidi="zh-CN"/>
      </w:rPr>
    </w:lvl>
    <w:lvl w:ilvl="8">
      <w:start w:val="0"/>
      <w:numFmt w:val="bullet"/>
      <w:lvlText w:val="•"/>
      <w:lvlJc w:val="left"/>
      <w:pPr>
        <w:ind w:left="6345" w:hanging="601"/>
      </w:pPr>
      <w:rPr>
        <w:rFonts w:hint="default"/>
        <w:lang w:val="zh-CN" w:eastAsia="zh-CN" w:bidi="zh-CN"/>
      </w:rPr>
    </w:lvl>
  </w:abstractNum>
  <w:abstractNum w:abstractNumId="39">
    <w:nsid w:val="7CDB9E89"/>
    <w:multiLevelType w:val="hybridMultilevel"/>
    <w:tmpl w:val="00000000"/>
    <w:lvl w:ilvl="0">
      <w:start w:val="2"/>
      <w:numFmt w:val="decimal"/>
      <w:lvlText w:val="%1"/>
      <w:lvlJc w:val="left"/>
      <w:pPr>
        <w:ind w:left="577" w:hanging="467"/>
        <w:jc w:val="left"/>
      </w:pPr>
      <w:rPr>
        <w:rFonts w:hint="default"/>
        <w:lang w:val="zh-CN" w:eastAsia="zh-CN" w:bidi="zh-CN"/>
      </w:rPr>
    </w:lvl>
    <w:lvl w:ilvl="1">
      <w:start w:val="1"/>
      <w:numFmt w:val="decimal"/>
      <w:lvlText w:val="%1-%2"/>
      <w:lvlJc w:val="left"/>
      <w:pPr>
        <w:ind w:left="577" w:hanging="467"/>
        <w:jc w:val="left"/>
      </w:pPr>
      <w:rPr>
        <w:rFonts w:ascii="Times New Roman" w:eastAsia="Times New Roman" w:hAnsi="Times New Roman" w:cs="Times New Roman" w:hint="default"/>
        <w:color w:val="231F20"/>
        <w:spacing w:val="-5"/>
        <w:w w:val="99"/>
        <w:sz w:val="20"/>
        <w:szCs w:val="20"/>
        <w:lang w:val="zh-CN" w:eastAsia="zh-CN" w:bidi="zh-CN"/>
      </w:rPr>
    </w:lvl>
    <w:lvl w:ilvl="2">
      <w:start w:val="0"/>
      <w:numFmt w:val="bullet"/>
      <w:lvlText w:val="•"/>
      <w:lvlJc w:val="left"/>
      <w:pPr>
        <w:ind w:left="1772" w:hanging="467"/>
      </w:pPr>
      <w:rPr>
        <w:rFonts w:hint="default"/>
        <w:lang w:val="zh-CN" w:eastAsia="zh-CN" w:bidi="zh-CN"/>
      </w:rPr>
    </w:lvl>
    <w:lvl w:ilvl="3">
      <w:start w:val="0"/>
      <w:numFmt w:val="bullet"/>
      <w:lvlText w:val="•"/>
      <w:lvlJc w:val="left"/>
      <w:pPr>
        <w:ind w:left="2368" w:hanging="467"/>
      </w:pPr>
      <w:rPr>
        <w:rFonts w:hint="default"/>
        <w:lang w:val="zh-CN" w:eastAsia="zh-CN" w:bidi="zh-CN"/>
      </w:rPr>
    </w:lvl>
    <w:lvl w:ilvl="4">
      <w:start w:val="0"/>
      <w:numFmt w:val="bullet"/>
      <w:lvlText w:val="•"/>
      <w:lvlJc w:val="left"/>
      <w:pPr>
        <w:ind w:left="2965" w:hanging="467"/>
      </w:pPr>
      <w:rPr>
        <w:rFonts w:hint="default"/>
        <w:lang w:val="zh-CN" w:eastAsia="zh-CN" w:bidi="zh-CN"/>
      </w:rPr>
    </w:lvl>
    <w:lvl w:ilvl="5">
      <w:start w:val="0"/>
      <w:numFmt w:val="bullet"/>
      <w:lvlText w:val="•"/>
      <w:lvlJc w:val="left"/>
      <w:pPr>
        <w:ind w:left="3561" w:hanging="467"/>
      </w:pPr>
      <w:rPr>
        <w:rFonts w:hint="default"/>
        <w:lang w:val="zh-CN" w:eastAsia="zh-CN" w:bidi="zh-CN"/>
      </w:rPr>
    </w:lvl>
    <w:lvl w:ilvl="6">
      <w:start w:val="0"/>
      <w:numFmt w:val="bullet"/>
      <w:lvlText w:val="•"/>
      <w:lvlJc w:val="left"/>
      <w:pPr>
        <w:ind w:left="4157" w:hanging="467"/>
      </w:pPr>
      <w:rPr>
        <w:rFonts w:hint="default"/>
        <w:lang w:val="zh-CN" w:eastAsia="zh-CN" w:bidi="zh-CN"/>
      </w:rPr>
    </w:lvl>
    <w:lvl w:ilvl="7">
      <w:start w:val="0"/>
      <w:numFmt w:val="bullet"/>
      <w:lvlText w:val="•"/>
      <w:lvlJc w:val="left"/>
      <w:pPr>
        <w:ind w:left="4754" w:hanging="467"/>
      </w:pPr>
      <w:rPr>
        <w:rFonts w:hint="default"/>
        <w:lang w:val="zh-CN" w:eastAsia="zh-CN" w:bidi="zh-CN"/>
      </w:rPr>
    </w:lvl>
    <w:lvl w:ilvl="8">
      <w:start w:val="0"/>
      <w:numFmt w:val="bullet"/>
      <w:lvlText w:val="•"/>
      <w:lvlJc w:val="left"/>
      <w:pPr>
        <w:ind w:left="5350" w:hanging="467"/>
      </w:pPr>
      <w:rPr>
        <w:rFonts w:hint="default"/>
        <w:lang w:val="zh-CN" w:eastAsia="zh-CN" w:bidi="zh-CN"/>
      </w:rPr>
    </w:lvl>
  </w:abstractNum>
  <w:abstractNum w:abstractNumId="40">
    <w:nsid w:val="7D244379"/>
    <w:multiLevelType w:val="hybridMultilevel"/>
    <w:tmpl w:val="00000000"/>
    <w:lvl w:ilvl="0">
      <w:start w:val="3"/>
      <w:numFmt w:val="decimal"/>
      <w:lvlText w:val="%1"/>
      <w:lvlJc w:val="left"/>
      <w:pPr>
        <w:ind w:left="810" w:hanging="420"/>
        <w:jc w:val="left"/>
      </w:pPr>
      <w:rPr>
        <w:rFonts w:hint="default"/>
        <w:lang w:val="zh-CN" w:eastAsia="zh-CN" w:bidi="zh-CN"/>
      </w:rPr>
    </w:lvl>
    <w:lvl w:ilvl="1">
      <w:start w:val="1"/>
      <w:numFmt w:val="decimal"/>
      <w:lvlText w:val="%1.%2"/>
      <w:lvlJc w:val="left"/>
      <w:pPr>
        <w:ind w:left="810" w:hanging="420"/>
        <w:jc w:val="right"/>
      </w:pPr>
      <w:rPr>
        <w:rFonts w:ascii="Times New Roman" w:eastAsia="Times New Roman" w:hAnsi="Times New Roman" w:cs="Times New Roman" w:hint="default"/>
        <w:color w:val="231F20"/>
        <w:w w:val="100"/>
        <w:sz w:val="24"/>
        <w:szCs w:val="24"/>
        <w:lang w:val="zh-CN" w:eastAsia="zh-CN" w:bidi="zh-CN"/>
      </w:rPr>
    </w:lvl>
    <w:lvl w:ilvl="2">
      <w:start w:val="1"/>
      <w:numFmt w:val="decimal"/>
      <w:lvlText w:val="%1.%2.%3"/>
      <w:lvlJc w:val="left"/>
      <w:pPr>
        <w:ind w:left="1450" w:hanging="600"/>
        <w:jc w:val="right"/>
      </w:pPr>
      <w:rPr>
        <w:rFonts w:ascii="Times New Roman" w:eastAsia="Times New Roman" w:hAnsi="Times New Roman" w:cs="Times New Roman" w:hint="default"/>
        <w:color w:val="231F20"/>
        <w:w w:val="100"/>
        <w:sz w:val="24"/>
        <w:szCs w:val="24"/>
        <w:lang w:val="zh-CN" w:eastAsia="zh-CN" w:bidi="zh-CN"/>
      </w:rPr>
    </w:lvl>
    <w:lvl w:ilvl="3">
      <w:start w:val="0"/>
      <w:numFmt w:val="bullet"/>
      <w:lvlText w:val="•"/>
      <w:lvlJc w:val="left"/>
      <w:pPr>
        <w:ind w:left="2256" w:hanging="600"/>
      </w:pPr>
      <w:rPr>
        <w:rFonts w:hint="default"/>
        <w:lang w:val="zh-CN" w:eastAsia="zh-CN" w:bidi="zh-CN"/>
      </w:rPr>
    </w:lvl>
    <w:lvl w:ilvl="4">
      <w:start w:val="0"/>
      <w:numFmt w:val="bullet"/>
      <w:lvlText w:val="•"/>
      <w:lvlJc w:val="left"/>
      <w:pPr>
        <w:ind w:left="3052" w:hanging="600"/>
      </w:pPr>
      <w:rPr>
        <w:rFonts w:hint="default"/>
        <w:lang w:val="zh-CN" w:eastAsia="zh-CN" w:bidi="zh-CN"/>
      </w:rPr>
    </w:lvl>
    <w:lvl w:ilvl="5">
      <w:start w:val="0"/>
      <w:numFmt w:val="bullet"/>
      <w:lvlText w:val="•"/>
      <w:lvlJc w:val="left"/>
      <w:pPr>
        <w:ind w:left="3849" w:hanging="600"/>
      </w:pPr>
      <w:rPr>
        <w:rFonts w:hint="default"/>
        <w:lang w:val="zh-CN" w:eastAsia="zh-CN" w:bidi="zh-CN"/>
      </w:rPr>
    </w:lvl>
    <w:lvl w:ilvl="6">
      <w:start w:val="0"/>
      <w:numFmt w:val="bullet"/>
      <w:lvlText w:val="•"/>
      <w:lvlJc w:val="left"/>
      <w:pPr>
        <w:ind w:left="4645" w:hanging="600"/>
      </w:pPr>
      <w:rPr>
        <w:rFonts w:hint="default"/>
        <w:lang w:val="zh-CN" w:eastAsia="zh-CN" w:bidi="zh-CN"/>
      </w:rPr>
    </w:lvl>
    <w:lvl w:ilvl="7">
      <w:start w:val="0"/>
      <w:numFmt w:val="bullet"/>
      <w:lvlText w:val="•"/>
      <w:lvlJc w:val="left"/>
      <w:pPr>
        <w:ind w:left="5442" w:hanging="600"/>
      </w:pPr>
      <w:rPr>
        <w:rFonts w:hint="default"/>
        <w:lang w:val="zh-CN" w:eastAsia="zh-CN" w:bidi="zh-CN"/>
      </w:rPr>
    </w:lvl>
    <w:lvl w:ilvl="8">
      <w:start w:val="0"/>
      <w:numFmt w:val="bullet"/>
      <w:lvlText w:val="•"/>
      <w:lvlJc w:val="left"/>
      <w:pPr>
        <w:ind w:left="6238" w:hanging="600"/>
      </w:pPr>
      <w:rPr>
        <w:rFonts w:hint="default"/>
        <w:lang w:val="zh-CN" w:eastAsia="zh-CN" w:bidi="zh-CN"/>
      </w:rPr>
    </w:lvl>
  </w:abstractNum>
  <w:abstractNum w:abstractNumId="41">
    <w:nsid w:val="7EAEEA8A"/>
    <w:multiLevelType w:val="hybridMultilevel"/>
    <w:tmpl w:val="00000000"/>
    <w:lvl w:ilvl="0">
      <w:start w:val="4"/>
      <w:numFmt w:val="decimal"/>
      <w:lvlText w:val="（%1）"/>
      <w:lvlJc w:val="left"/>
      <w:pPr>
        <w:ind w:left="221" w:hanging="601"/>
        <w:jc w:val="left"/>
      </w:pPr>
      <w:rPr>
        <w:rFonts w:ascii="宋体" w:eastAsia="宋体" w:hAnsi="宋体" w:cs="宋体" w:hint="default"/>
        <w:color w:val="231F20"/>
        <w:spacing w:val="-120"/>
        <w:w w:val="100"/>
        <w:sz w:val="22"/>
        <w:szCs w:val="22"/>
        <w:lang w:val="zh-CN" w:eastAsia="zh-CN" w:bidi="zh-CN"/>
      </w:rPr>
    </w:lvl>
    <w:lvl w:ilvl="1">
      <w:start w:val="0"/>
      <w:numFmt w:val="bullet"/>
      <w:lvlText w:val="●"/>
      <w:lvlJc w:val="left"/>
      <w:pPr>
        <w:ind w:left="220" w:hanging="186"/>
      </w:pPr>
      <w:rPr>
        <w:rFonts w:ascii="宋体" w:eastAsia="宋体" w:hAnsi="宋体" w:cs="宋体" w:hint="default"/>
        <w:color w:val="231F20"/>
        <w:w w:val="100"/>
        <w:position w:val="4"/>
        <w:sz w:val="12"/>
        <w:szCs w:val="12"/>
        <w:lang w:val="zh-CN" w:eastAsia="zh-CN" w:bidi="zh-CN"/>
      </w:rPr>
    </w:lvl>
    <w:lvl w:ilvl="2">
      <w:start w:val="0"/>
      <w:numFmt w:val="bullet"/>
      <w:lvlText w:val="●"/>
      <w:lvlJc w:val="left"/>
      <w:pPr>
        <w:ind w:left="390" w:hanging="183"/>
      </w:pPr>
      <w:rPr>
        <w:rFonts w:ascii="宋体" w:eastAsia="宋体" w:hAnsi="宋体" w:cs="宋体" w:hint="default"/>
        <w:color w:val="231F20"/>
        <w:w w:val="100"/>
        <w:position w:val="4"/>
        <w:sz w:val="12"/>
        <w:szCs w:val="12"/>
        <w:lang w:val="zh-CN" w:eastAsia="zh-CN" w:bidi="zh-CN"/>
      </w:rPr>
    </w:lvl>
    <w:lvl w:ilvl="3">
      <w:start w:val="0"/>
      <w:numFmt w:val="bullet"/>
      <w:lvlText w:val="•"/>
      <w:lvlJc w:val="left"/>
      <w:pPr>
        <w:ind w:left="2051" w:hanging="183"/>
      </w:pPr>
      <w:rPr>
        <w:rFonts w:hint="default"/>
        <w:lang w:val="zh-CN" w:eastAsia="zh-CN" w:bidi="zh-CN"/>
      </w:rPr>
    </w:lvl>
    <w:lvl w:ilvl="4">
      <w:start w:val="0"/>
      <w:numFmt w:val="bullet"/>
      <w:lvlText w:val="•"/>
      <w:lvlJc w:val="left"/>
      <w:pPr>
        <w:ind w:left="2877" w:hanging="183"/>
      </w:pPr>
      <w:rPr>
        <w:rFonts w:hint="default"/>
        <w:lang w:val="zh-CN" w:eastAsia="zh-CN" w:bidi="zh-CN"/>
      </w:rPr>
    </w:lvl>
    <w:lvl w:ilvl="5">
      <w:start w:val="0"/>
      <w:numFmt w:val="bullet"/>
      <w:lvlText w:val="•"/>
      <w:lvlJc w:val="left"/>
      <w:pPr>
        <w:ind w:left="3702" w:hanging="183"/>
      </w:pPr>
      <w:rPr>
        <w:rFonts w:hint="default"/>
        <w:lang w:val="zh-CN" w:eastAsia="zh-CN" w:bidi="zh-CN"/>
      </w:rPr>
    </w:lvl>
    <w:lvl w:ilvl="6">
      <w:start w:val="0"/>
      <w:numFmt w:val="bullet"/>
      <w:lvlText w:val="•"/>
      <w:lvlJc w:val="left"/>
      <w:pPr>
        <w:ind w:left="4528" w:hanging="183"/>
      </w:pPr>
      <w:rPr>
        <w:rFonts w:hint="default"/>
        <w:lang w:val="zh-CN" w:eastAsia="zh-CN" w:bidi="zh-CN"/>
      </w:rPr>
    </w:lvl>
    <w:lvl w:ilvl="7">
      <w:start w:val="0"/>
      <w:numFmt w:val="bullet"/>
      <w:lvlText w:val="•"/>
      <w:lvlJc w:val="left"/>
      <w:pPr>
        <w:ind w:left="5354" w:hanging="183"/>
      </w:pPr>
      <w:rPr>
        <w:rFonts w:hint="default"/>
        <w:lang w:val="zh-CN" w:eastAsia="zh-CN" w:bidi="zh-CN"/>
      </w:rPr>
    </w:lvl>
    <w:lvl w:ilvl="8">
      <w:start w:val="0"/>
      <w:numFmt w:val="bullet"/>
      <w:lvlText w:val="•"/>
      <w:lvlJc w:val="left"/>
      <w:pPr>
        <w:ind w:left="6180" w:hanging="183"/>
      </w:pPr>
      <w:rPr>
        <w:rFonts w:hint="default"/>
        <w:lang w:val="zh-CN" w:eastAsia="zh-CN" w:bidi="zh-CN"/>
      </w:rPr>
    </w:lvl>
  </w:abstractNum>
  <w:num w:numId="1">
    <w:abstractNumId w:val="31"/>
  </w:num>
  <w:num w:numId="2">
    <w:abstractNumId w:val="2"/>
  </w:num>
  <w:num w:numId="3">
    <w:abstractNumId w:val="25"/>
  </w:num>
  <w:num w:numId="4">
    <w:abstractNumId w:val="30"/>
  </w:num>
  <w:num w:numId="5">
    <w:abstractNumId w:val="37"/>
  </w:num>
  <w:num w:numId="6">
    <w:abstractNumId w:val="17"/>
  </w:num>
  <w:num w:numId="7">
    <w:abstractNumId w:val="36"/>
  </w:num>
  <w:num w:numId="8">
    <w:abstractNumId w:val="16"/>
  </w:num>
  <w:num w:numId="9">
    <w:abstractNumId w:val="19"/>
  </w:num>
  <w:num w:numId="10">
    <w:abstractNumId w:val="26"/>
  </w:num>
  <w:num w:numId="11">
    <w:abstractNumId w:val="22"/>
  </w:num>
  <w:num w:numId="12">
    <w:abstractNumId w:val="27"/>
  </w:num>
  <w:num w:numId="13">
    <w:abstractNumId w:val="12"/>
  </w:num>
  <w:num w:numId="14">
    <w:abstractNumId w:val="38"/>
  </w:num>
  <w:num w:numId="15">
    <w:abstractNumId w:val="35"/>
  </w:num>
  <w:num w:numId="16">
    <w:abstractNumId w:val="32"/>
  </w:num>
  <w:num w:numId="17">
    <w:abstractNumId w:val="11"/>
  </w:num>
  <w:num w:numId="18">
    <w:abstractNumId w:val="4"/>
  </w:num>
  <w:num w:numId="19">
    <w:abstractNumId w:val="39"/>
  </w:num>
  <w:num w:numId="20">
    <w:abstractNumId w:val="14"/>
  </w:num>
  <w:num w:numId="21">
    <w:abstractNumId w:val="13"/>
  </w:num>
  <w:num w:numId="22">
    <w:abstractNumId w:val="6"/>
  </w:num>
  <w:num w:numId="23">
    <w:abstractNumId w:val="9"/>
  </w:num>
  <w:num w:numId="24">
    <w:abstractNumId w:val="33"/>
  </w:num>
  <w:num w:numId="25">
    <w:abstractNumId w:val="23"/>
  </w:num>
  <w:num w:numId="26">
    <w:abstractNumId w:val="40"/>
  </w:num>
  <w:num w:numId="27">
    <w:abstractNumId w:val="0"/>
  </w:num>
  <w:num w:numId="28">
    <w:abstractNumId w:val="5"/>
  </w:num>
  <w:num w:numId="29">
    <w:abstractNumId w:val="18"/>
  </w:num>
  <w:num w:numId="30">
    <w:abstractNumId w:val="34"/>
  </w:num>
  <w:num w:numId="31">
    <w:abstractNumId w:val="41"/>
  </w:num>
  <w:num w:numId="32">
    <w:abstractNumId w:val="8"/>
  </w:num>
  <w:num w:numId="33">
    <w:abstractNumId w:val="21"/>
  </w:num>
  <w:num w:numId="34">
    <w:abstractNumId w:val="10"/>
  </w:num>
  <w:num w:numId="35">
    <w:abstractNumId w:val="29"/>
  </w:num>
  <w:num w:numId="36">
    <w:abstractNumId w:val="28"/>
  </w:num>
  <w:num w:numId="37">
    <w:abstractNumId w:val="15"/>
  </w:num>
  <w:num w:numId="38">
    <w:abstractNumId w:val="3"/>
  </w:num>
  <w:num w:numId="39">
    <w:abstractNumId w:val="7"/>
  </w:num>
  <w:num w:numId="40">
    <w:abstractNumId w:val="1"/>
  </w:num>
  <w:num w:numId="41">
    <w:abstractNumId w:val="20"/>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宋体" w:eastAsia="宋体" w:hAnsi="宋体" w:cs="宋体"/>
      <w:lang w:val="zh-CN" w:eastAsia="zh-CN" w:bidi="zh-CN"/>
    </w:rPr>
  </w:style>
  <w:style w:type="character" w:default="1" w:styleId="DefaultParagraphFont">
    <w:name w:val="Default Paragraph Font"/>
    <w:uiPriority w:val="1"/>
    <w:semiHidden/>
    <w:unhideWhenUsed/>
  </w:style>
  <w:style w:type="table" w:default="1" w:styleId="TableNormal">
    <w:name w:val="Normal Table"/>
    <w:uiPriority w:val="2"/>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paragraph" w:customStyle="1" w:styleId="TOC1">
    <w:name w:val="TOC 1"/>
    <w:basedOn w:val="Normal"/>
    <w:uiPriority w:val="1"/>
    <w:qFormat/>
    <w:pPr>
      <w:spacing w:before="661"/>
      <w:ind w:left="2205"/>
    </w:pPr>
    <w:rPr>
      <w:rFonts w:ascii="宋体" w:eastAsia="宋体" w:hAnsi="宋体" w:cs="宋体"/>
      <w:sz w:val="24"/>
      <w:szCs w:val="24"/>
      <w:lang w:val="zh-CN" w:eastAsia="zh-CN" w:bidi="zh-CN"/>
    </w:rPr>
  </w:style>
  <w:style w:type="paragraph" w:customStyle="1" w:styleId="TOC2">
    <w:name w:val="TOC 2"/>
    <w:basedOn w:val="Normal"/>
    <w:uiPriority w:val="1"/>
    <w:qFormat/>
    <w:pPr>
      <w:spacing w:before="212"/>
      <w:ind w:left="2565"/>
    </w:pPr>
    <w:rPr>
      <w:rFonts w:ascii="宋体" w:eastAsia="宋体" w:hAnsi="宋体" w:cs="宋体"/>
      <w:sz w:val="24"/>
      <w:szCs w:val="24"/>
      <w:lang w:val="zh-CN" w:eastAsia="zh-CN" w:bidi="zh-CN"/>
    </w:rPr>
  </w:style>
  <w:style w:type="paragraph" w:styleId="BodyText">
    <w:name w:val="Body Text"/>
    <w:basedOn w:val="Normal"/>
    <w:uiPriority w:val="1"/>
    <w:qFormat/>
    <w:rPr>
      <w:rFonts w:ascii="宋体" w:eastAsia="宋体" w:hAnsi="宋体" w:cs="宋体"/>
      <w:sz w:val="24"/>
      <w:szCs w:val="24"/>
      <w:lang w:val="zh-CN" w:eastAsia="zh-CN" w:bidi="zh-CN"/>
    </w:rPr>
  </w:style>
  <w:style w:type="paragraph" w:customStyle="1" w:styleId="Heading1">
    <w:name w:val="Heading 1"/>
    <w:basedOn w:val="Normal"/>
    <w:uiPriority w:val="1"/>
    <w:qFormat/>
    <w:pPr>
      <w:spacing w:before="251"/>
      <w:ind w:left="390"/>
      <w:outlineLvl w:val="1"/>
    </w:pPr>
    <w:rPr>
      <w:rFonts w:ascii="宋体" w:eastAsia="宋体" w:hAnsi="宋体" w:cs="宋体"/>
      <w:sz w:val="46"/>
      <w:szCs w:val="46"/>
      <w:lang w:val="zh-CN" w:eastAsia="zh-CN" w:bidi="zh-CN"/>
    </w:rPr>
  </w:style>
  <w:style w:type="paragraph" w:customStyle="1" w:styleId="Heading2">
    <w:name w:val="Heading 2"/>
    <w:basedOn w:val="Normal"/>
    <w:uiPriority w:val="1"/>
    <w:qFormat/>
    <w:pPr>
      <w:ind w:left="710"/>
      <w:outlineLvl w:val="2"/>
    </w:pPr>
    <w:rPr>
      <w:rFonts w:ascii="宋体" w:eastAsia="宋体" w:hAnsi="宋体" w:cs="宋体"/>
      <w:sz w:val="32"/>
      <w:szCs w:val="32"/>
      <w:lang w:val="zh-CN" w:eastAsia="zh-CN" w:bidi="zh-CN"/>
    </w:rPr>
  </w:style>
  <w:style w:type="paragraph" w:customStyle="1" w:styleId="Heading3">
    <w:name w:val="Heading 3"/>
    <w:basedOn w:val="Normal"/>
    <w:uiPriority w:val="1"/>
    <w:qFormat/>
    <w:pPr>
      <w:ind w:left="700"/>
      <w:outlineLvl w:val="3"/>
    </w:pPr>
    <w:rPr>
      <w:rFonts w:ascii="宋体" w:eastAsia="宋体" w:hAnsi="宋体" w:cs="宋体"/>
      <w:sz w:val="28"/>
      <w:szCs w:val="28"/>
      <w:lang w:val="zh-CN" w:eastAsia="zh-CN" w:bidi="zh-CN"/>
    </w:rPr>
  </w:style>
  <w:style w:type="paragraph" w:customStyle="1" w:styleId="Heading4">
    <w:name w:val="Heading 4"/>
    <w:basedOn w:val="Normal"/>
    <w:uiPriority w:val="1"/>
    <w:qFormat/>
    <w:pPr>
      <w:ind w:left="731" w:right="575" w:firstLine="479"/>
      <w:jc w:val="both"/>
      <w:outlineLvl w:val="4"/>
    </w:pPr>
    <w:rPr>
      <w:rFonts w:ascii="宋体" w:eastAsia="宋体" w:hAnsi="宋体" w:cs="宋体"/>
      <w:sz w:val="26"/>
      <w:szCs w:val="26"/>
      <w:lang w:val="zh-CN" w:eastAsia="zh-CN" w:bidi="zh-CN"/>
    </w:rPr>
  </w:style>
  <w:style w:type="paragraph" w:styleId="ListParagraph">
    <w:name w:val="List Paragraph"/>
    <w:basedOn w:val="Normal"/>
    <w:uiPriority w:val="1"/>
    <w:qFormat/>
    <w:pPr>
      <w:ind w:left="390" w:hanging="640"/>
    </w:pPr>
    <w:rPr>
      <w:rFonts w:ascii="宋体" w:eastAsia="宋体" w:hAnsi="宋体" w:cs="宋体"/>
      <w:lang w:val="zh-CN" w:eastAsia="zh-CN" w:bidi="zh-CN"/>
    </w:rPr>
  </w:style>
  <w:style w:type="paragraph" w:customStyle="1" w:styleId="TableParagraph">
    <w:name w:val="Table Paragraph"/>
    <w:basedOn w:val="Normal"/>
    <w:uiPriority w:val="1"/>
    <w:qFormat/>
    <w:rPr>
      <w:rFonts w:ascii="宋体" w:eastAsia="宋体" w:hAnsi="宋体" w:cs="宋体"/>
      <w:lang w:val="zh-CN" w:eastAsia="zh-CN" w:bidi="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3.xml" /><Relationship Id="rId12" Type="http://schemas.openxmlformats.org/officeDocument/2006/relationships/footer" Target="footer4.xml" /><Relationship Id="rId13" Type="http://schemas.openxmlformats.org/officeDocument/2006/relationships/header" Target="header3.xml" /><Relationship Id="rId14" Type="http://schemas.openxmlformats.org/officeDocument/2006/relationships/footer" Target="footer5.xml" /><Relationship Id="rId15" Type="http://schemas.openxmlformats.org/officeDocument/2006/relationships/header" Target="header4.xml" /><Relationship Id="rId16" Type="http://schemas.openxmlformats.org/officeDocument/2006/relationships/footer" Target="footer6.xml" /><Relationship Id="rId17" Type="http://schemas.openxmlformats.org/officeDocument/2006/relationships/header" Target="header5.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6.xml" /><Relationship Id="rId21" Type="http://schemas.openxmlformats.org/officeDocument/2006/relationships/header" Target="header7.xml" /><Relationship Id="rId22" Type="http://schemas.openxmlformats.org/officeDocument/2006/relationships/footer" Target="footer9.xml" /><Relationship Id="rId23" Type="http://schemas.openxmlformats.org/officeDocument/2006/relationships/footer" Target="footer10.xml" /><Relationship Id="rId24" Type="http://schemas.openxmlformats.org/officeDocument/2006/relationships/header" Target="header8.xml" /><Relationship Id="rId25" Type="http://schemas.openxmlformats.org/officeDocument/2006/relationships/header" Target="header9.xml" /><Relationship Id="rId26" Type="http://schemas.openxmlformats.org/officeDocument/2006/relationships/footer" Target="footer11.xml" /><Relationship Id="rId27" Type="http://schemas.openxmlformats.org/officeDocument/2006/relationships/footer" Target="footer12.xml" /><Relationship Id="rId28" Type="http://schemas.openxmlformats.org/officeDocument/2006/relationships/header" Target="header10.xml" /><Relationship Id="rId29" Type="http://schemas.openxmlformats.org/officeDocument/2006/relationships/header" Target="header11.xml" /><Relationship Id="rId3" Type="http://schemas.openxmlformats.org/officeDocument/2006/relationships/fontTable" Target="fontTable.xml" /><Relationship Id="rId30" Type="http://schemas.openxmlformats.org/officeDocument/2006/relationships/footer" Target="footer13.xml" /><Relationship Id="rId31" Type="http://schemas.openxmlformats.org/officeDocument/2006/relationships/footer" Target="footer14.xml" /><Relationship Id="rId32" Type="http://schemas.openxmlformats.org/officeDocument/2006/relationships/header" Target="header12.xml" /><Relationship Id="rId33" Type="http://schemas.openxmlformats.org/officeDocument/2006/relationships/header" Target="header13.xml" /><Relationship Id="rId34" Type="http://schemas.openxmlformats.org/officeDocument/2006/relationships/footer" Target="footer15.xml" /><Relationship Id="rId35" Type="http://schemas.openxmlformats.org/officeDocument/2006/relationships/footer" Target="footer16.xml" /><Relationship Id="rId36" Type="http://schemas.openxmlformats.org/officeDocument/2006/relationships/header" Target="header14.xml" /><Relationship Id="rId37" Type="http://schemas.openxmlformats.org/officeDocument/2006/relationships/header" Target="header15.xml" /><Relationship Id="rId38" Type="http://schemas.openxmlformats.org/officeDocument/2006/relationships/footer" Target="footer17.xml" /><Relationship Id="rId39" Type="http://schemas.openxmlformats.org/officeDocument/2006/relationships/footer" Target="footer18.xml" /><Relationship Id="rId4" Type="http://schemas.openxmlformats.org/officeDocument/2006/relationships/image" Target="media/image1.png" /><Relationship Id="rId40" Type="http://schemas.openxmlformats.org/officeDocument/2006/relationships/header" Target="header16.xml" /><Relationship Id="rId41" Type="http://schemas.openxmlformats.org/officeDocument/2006/relationships/header" Target="header17.xml" /><Relationship Id="rId42" Type="http://schemas.openxmlformats.org/officeDocument/2006/relationships/header" Target="header18.xml" /><Relationship Id="rId43" Type="http://schemas.openxmlformats.org/officeDocument/2006/relationships/footer" Target="footer19.xml" /><Relationship Id="rId44" Type="http://schemas.openxmlformats.org/officeDocument/2006/relationships/footer" Target="footer20.xml" /><Relationship Id="rId45" Type="http://schemas.openxmlformats.org/officeDocument/2006/relationships/header" Target="header19.xml" /><Relationship Id="rId46" Type="http://schemas.openxmlformats.org/officeDocument/2006/relationships/footer" Target="footer21.xml" /><Relationship Id="rId47" Type="http://schemas.openxmlformats.org/officeDocument/2006/relationships/footer" Target="footer22.xml" /><Relationship Id="rId48" Type="http://schemas.openxmlformats.org/officeDocument/2006/relationships/header" Target="header20.xml" /><Relationship Id="rId49" Type="http://schemas.openxmlformats.org/officeDocument/2006/relationships/header" Target="header21.xml" /><Relationship Id="rId5" Type="http://schemas.openxmlformats.org/officeDocument/2006/relationships/image" Target="media/image2.png" /><Relationship Id="rId50" Type="http://schemas.openxmlformats.org/officeDocument/2006/relationships/footer" Target="footer23.xml" /><Relationship Id="rId51" Type="http://schemas.openxmlformats.org/officeDocument/2006/relationships/footer" Target="footer24.xml" /><Relationship Id="rId52" Type="http://schemas.openxmlformats.org/officeDocument/2006/relationships/header" Target="header22.xml" /><Relationship Id="rId53" Type="http://schemas.openxmlformats.org/officeDocument/2006/relationships/footer" Target="footer25.xml" /><Relationship Id="rId54" Type="http://schemas.openxmlformats.org/officeDocument/2006/relationships/footer" Target="footer26.xml" /><Relationship Id="rId55" Type="http://schemas.openxmlformats.org/officeDocument/2006/relationships/header" Target="header23.xml" /><Relationship Id="rId56" Type="http://schemas.openxmlformats.org/officeDocument/2006/relationships/header" Target="header24.xml" /><Relationship Id="rId57" Type="http://schemas.openxmlformats.org/officeDocument/2006/relationships/footer" Target="footer27.xml" /><Relationship Id="rId58" Type="http://schemas.openxmlformats.org/officeDocument/2006/relationships/footer" Target="footer28.xml" /><Relationship Id="rId59" Type="http://schemas.openxmlformats.org/officeDocument/2006/relationships/header" Target="header25.xml" /><Relationship Id="rId6" Type="http://schemas.openxmlformats.org/officeDocument/2006/relationships/image" Target="media/image3.png" /><Relationship Id="rId60" Type="http://schemas.openxmlformats.org/officeDocument/2006/relationships/footer" Target="footer29.xml" /><Relationship Id="rId61" Type="http://schemas.openxmlformats.org/officeDocument/2006/relationships/footer" Target="footer30.xml" /><Relationship Id="rId62" Type="http://schemas.openxmlformats.org/officeDocument/2006/relationships/header" Target="header26.xml" /><Relationship Id="rId63" Type="http://schemas.openxmlformats.org/officeDocument/2006/relationships/header" Target="header27.xml" /><Relationship Id="rId64" Type="http://schemas.openxmlformats.org/officeDocument/2006/relationships/footer" Target="footer31.xml" /><Relationship Id="rId65" Type="http://schemas.openxmlformats.org/officeDocument/2006/relationships/footer" Target="footer32.xml" /><Relationship Id="rId66" Type="http://schemas.openxmlformats.org/officeDocument/2006/relationships/image" Target="media/image4.png" /><Relationship Id="rId67" Type="http://schemas.openxmlformats.org/officeDocument/2006/relationships/image" Target="media/image5.png" /><Relationship Id="rId68" Type="http://schemas.openxmlformats.org/officeDocument/2006/relationships/image" Target="media/image6.png" /><Relationship Id="rId69" Type="http://schemas.openxmlformats.org/officeDocument/2006/relationships/image" Target="media/image7.png" /><Relationship Id="rId7" Type="http://schemas.openxmlformats.org/officeDocument/2006/relationships/footer" Target="footer1.xml" /><Relationship Id="rId70" Type="http://schemas.openxmlformats.org/officeDocument/2006/relationships/image" Target="media/image8.png" /><Relationship Id="rId71" Type="http://schemas.openxmlformats.org/officeDocument/2006/relationships/image" Target="media/image9.png" /><Relationship Id="rId72" Type="http://schemas.openxmlformats.org/officeDocument/2006/relationships/image" Target="media/image10.png" /><Relationship Id="rId73" Type="http://schemas.openxmlformats.org/officeDocument/2006/relationships/image" Target="media/image11.png" /><Relationship Id="rId74" Type="http://schemas.openxmlformats.org/officeDocument/2006/relationships/image" Target="media/image12.png" /><Relationship Id="rId75" Type="http://schemas.openxmlformats.org/officeDocument/2006/relationships/image" Target="media/image13.png" /><Relationship Id="rId76" Type="http://schemas.openxmlformats.org/officeDocument/2006/relationships/image" Target="media/image14.png" /><Relationship Id="rId77" Type="http://schemas.openxmlformats.org/officeDocument/2006/relationships/image" Target="media/image15.png" /><Relationship Id="rId78" Type="http://schemas.openxmlformats.org/officeDocument/2006/relationships/theme" Target="theme/theme1.xml" /><Relationship Id="rId79" Type="http://schemas.openxmlformats.org/officeDocument/2006/relationships/numbering" Target="numbering.xml" /><Relationship Id="rId8" Type="http://schemas.openxmlformats.org/officeDocument/2006/relationships/footer" Target="footer2.xml" /><Relationship Id="rId80" Type="http://schemas.openxmlformats.org/officeDocument/2006/relationships/styles" Target="style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2020-06-03T23:01:53Z</dcterms:created>
  <dcterms:modified xsi:type="dcterms:W3CDTF">2020-06-03T23:01:53Z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2020-05-28T00:00:00Z</vt:filetime>
  </property>
  <property fmtid="{D5CDD505-2E9C-101B-9397-08002B2CF9AE}" pid="3" name="Creator">
    <vt:lpwstr>Founder PDF Library</vt:lpwstr>
  </property>
  <property fmtid="{D5CDD505-2E9C-101B-9397-08002B2CF9AE}" pid="4" name="LastSaved">
    <vt:filetime>2020-06-03T00:00:00Z</vt:filetime>
  </property>
</Properties>
</file>